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5" w:rsidRPr="00ED3A11" w:rsidRDefault="0096030E" w:rsidP="00A713F5">
      <w:pPr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drawing>
          <wp:inline distT="0" distB="0" distL="0" distR="0">
            <wp:extent cx="457200" cy="514350"/>
            <wp:effectExtent l="19050" t="0" r="0" b="0"/>
            <wp:docPr id="1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F5" w:rsidRDefault="00A713F5" w:rsidP="00A713F5">
      <w:pPr>
        <w:pStyle w:val="51"/>
        <w:rPr>
          <w:bCs w:val="0"/>
          <w:sz w:val="26"/>
        </w:rPr>
      </w:pPr>
      <w:r w:rsidRPr="002E3968">
        <w:rPr>
          <w:bCs w:val="0"/>
          <w:spacing w:val="20"/>
          <w:sz w:val="26"/>
        </w:rPr>
        <w:t>ТАЛЬМЕНСКИЙ РАЙОННЫЙ СОВЕТ НАРОДНЫХ</w:t>
      </w:r>
      <w:r w:rsidRPr="002E3968">
        <w:rPr>
          <w:bCs w:val="0"/>
          <w:sz w:val="26"/>
        </w:rPr>
        <w:t xml:space="preserve"> ДЕПУТАТОВ АЛТАЙСКОГО КРАЯ</w:t>
      </w:r>
      <w:r w:rsidR="000E6826" w:rsidRPr="002E3968">
        <w:rPr>
          <w:bCs w:val="0"/>
          <w:sz w:val="26"/>
        </w:rPr>
        <w:t xml:space="preserve"> </w:t>
      </w:r>
    </w:p>
    <w:p w:rsidR="00C943EC" w:rsidRPr="00C943EC" w:rsidRDefault="00C943EC" w:rsidP="00C943EC">
      <w:pPr>
        <w:rPr>
          <w:lang w:eastAsia="ar-SA"/>
        </w:rPr>
      </w:pPr>
    </w:p>
    <w:p w:rsidR="00A713F5" w:rsidRDefault="002E3968" w:rsidP="00FF313F">
      <w:pPr>
        <w:pStyle w:val="6"/>
        <w:spacing w:before="6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РЕШЕНИ</w:t>
      </w:r>
      <w:r w:rsidR="00A713F5" w:rsidRPr="002E3968">
        <w:rPr>
          <w:rFonts w:ascii="Times New Roman" w:hAnsi="Times New Roman"/>
          <w:szCs w:val="28"/>
          <w:lang w:val="ru-RU"/>
        </w:rPr>
        <w:t>Е</w:t>
      </w:r>
    </w:p>
    <w:p w:rsidR="00C943EC" w:rsidRPr="00C943EC" w:rsidRDefault="00C943EC" w:rsidP="00C943EC">
      <w:pPr>
        <w:rPr>
          <w:lang w:eastAsia="ar-SA"/>
        </w:rPr>
      </w:pPr>
    </w:p>
    <w:p w:rsidR="00A713F5" w:rsidRPr="002E3968" w:rsidRDefault="00C943EC" w:rsidP="00C943EC">
      <w:pPr>
        <w:pStyle w:val="5"/>
        <w:numPr>
          <w:ilvl w:val="4"/>
          <w:numId w:val="0"/>
        </w:numPr>
        <w:tabs>
          <w:tab w:val="left" w:pos="0"/>
        </w:tabs>
        <w:spacing w:before="60" w:after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31.03.</w:t>
      </w:r>
      <w:r w:rsidR="00A713F5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20</w:t>
      </w:r>
      <w:r w:rsidR="00933E96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2</w:t>
      </w:r>
      <w:r w:rsidR="00B274E0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3</w:t>
      </w:r>
      <w:r w:rsidR="00A713F5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675C47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="00675C47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="00675C47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="00A713F5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</w:t>
      </w:r>
      <w:r w:rsidR="002E3968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          </w:t>
      </w:r>
      <w:r w:rsidR="00675C47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                          </w:t>
      </w:r>
      <w:r w:rsidR="005936AB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№</w:t>
      </w:r>
      <w:r w:rsidR="00675C47" w:rsidRP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69</w:t>
      </w:r>
      <w:r w:rsidR="002E396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="00A713F5" w:rsidRPr="002E3968">
        <w:rPr>
          <w:rFonts w:ascii="Arial" w:hAnsi="Arial" w:cs="Arial"/>
          <w:b w:val="0"/>
          <w:i w:val="0"/>
          <w:sz w:val="20"/>
          <w:szCs w:val="24"/>
        </w:rPr>
        <w:t>р.п. Тальменка</w:t>
      </w:r>
    </w:p>
    <w:p w:rsidR="00A713F5" w:rsidRPr="002E3968" w:rsidRDefault="00A713F5" w:rsidP="00C943EC">
      <w:pPr>
        <w:jc w:val="center"/>
        <w:rPr>
          <w:sz w:val="16"/>
          <w:szCs w:val="16"/>
        </w:rPr>
      </w:pPr>
    </w:p>
    <w:p w:rsidR="00933E96" w:rsidRPr="002E3968" w:rsidRDefault="004E0323" w:rsidP="002E3968">
      <w:pPr>
        <w:ind w:right="5385"/>
        <w:jc w:val="both"/>
        <w:rPr>
          <w:sz w:val="28"/>
        </w:rPr>
      </w:pPr>
      <w:r w:rsidRPr="002E3968">
        <w:rPr>
          <w:sz w:val="28"/>
        </w:rPr>
        <w:t xml:space="preserve">Об организации деятельности в сфере обращения с ТКО на территории Тальменского района Алтайского края </w:t>
      </w:r>
    </w:p>
    <w:p w:rsidR="004E0323" w:rsidRDefault="004E0323" w:rsidP="002E3968">
      <w:pPr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</w:p>
    <w:p w:rsidR="004E0323" w:rsidRPr="00A91B38" w:rsidRDefault="004E0323" w:rsidP="00C943EC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заведующего отделом по ЖКХ Администрации района об </w:t>
      </w:r>
      <w:r w:rsidRPr="004E0323">
        <w:rPr>
          <w:rFonts w:ascii="Times New Roman" w:hAnsi="Times New Roman"/>
          <w:sz w:val="28"/>
          <w:szCs w:val="28"/>
        </w:rPr>
        <w:t xml:space="preserve">организации деятельности в сфере обращения с ТКО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E0323">
        <w:rPr>
          <w:rFonts w:ascii="Times New Roman" w:hAnsi="Times New Roman"/>
          <w:sz w:val="28"/>
          <w:szCs w:val="28"/>
        </w:rPr>
        <w:t xml:space="preserve"> Тальменско</w:t>
      </w:r>
      <w:r>
        <w:rPr>
          <w:rFonts w:ascii="Times New Roman" w:hAnsi="Times New Roman"/>
          <w:sz w:val="28"/>
          <w:szCs w:val="28"/>
        </w:rPr>
        <w:t>го</w:t>
      </w:r>
      <w:r w:rsidRPr="004E0323">
        <w:rPr>
          <w:rFonts w:ascii="Times New Roman" w:hAnsi="Times New Roman"/>
          <w:sz w:val="28"/>
          <w:szCs w:val="28"/>
        </w:rPr>
        <w:t xml:space="preserve"> района</w:t>
      </w:r>
      <w:r w:rsidR="00254071">
        <w:rPr>
          <w:rFonts w:ascii="Times New Roman" w:hAnsi="Times New Roman"/>
          <w:sz w:val="28"/>
          <w:szCs w:val="28"/>
        </w:rPr>
        <w:t xml:space="preserve">, </w:t>
      </w:r>
      <w:r w:rsidRPr="00D129FE">
        <w:rPr>
          <w:rFonts w:ascii="Times New Roman" w:hAnsi="Times New Roman"/>
          <w:sz w:val="28"/>
          <w:szCs w:val="28"/>
        </w:rPr>
        <w:t>Совет народных депутатов отме</w:t>
      </w:r>
      <w:r w:rsidR="00D129FE" w:rsidRPr="00D129FE">
        <w:rPr>
          <w:rFonts w:ascii="Times New Roman" w:hAnsi="Times New Roman"/>
          <w:sz w:val="28"/>
          <w:szCs w:val="28"/>
        </w:rPr>
        <w:t xml:space="preserve">тил о наличии 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>острых проблем в данном направлении и наметил пути их решения. Для обустройства контейнерных площадок и приобретение недостающего количества контейнеров</w:t>
      </w:r>
      <w:r w:rsidR="001A0E1F">
        <w:rPr>
          <w:rFonts w:ascii="Times New Roman" w:hAnsi="Times New Roman"/>
          <w:color w:val="1C1C1C"/>
          <w:sz w:val="28"/>
          <w:szCs w:val="28"/>
        </w:rPr>
        <w:t xml:space="preserve"> необходимо изыскать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1927F3">
        <w:rPr>
          <w:rFonts w:ascii="Times New Roman" w:hAnsi="Times New Roman"/>
          <w:color w:val="1C1C1C"/>
          <w:sz w:val="28"/>
          <w:szCs w:val="28"/>
        </w:rPr>
        <w:t>28,5</w:t>
      </w:r>
      <w:r w:rsidR="00A91B38">
        <w:rPr>
          <w:rFonts w:ascii="Times New Roman" w:hAnsi="Times New Roman"/>
          <w:color w:val="1C1C1C"/>
          <w:sz w:val="28"/>
          <w:szCs w:val="28"/>
        </w:rPr>
        <w:t xml:space="preserve"> млн</w:t>
      </w:r>
      <w:r w:rsidR="001927F3">
        <w:rPr>
          <w:rFonts w:ascii="Times New Roman" w:hAnsi="Times New Roman"/>
          <w:color w:val="1C1C1C"/>
          <w:sz w:val="28"/>
          <w:szCs w:val="28"/>
        </w:rPr>
        <w:t>.</w:t>
      </w:r>
      <w:r w:rsidR="002E3968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D129FE">
        <w:rPr>
          <w:rFonts w:ascii="Times New Roman" w:hAnsi="Times New Roman"/>
          <w:color w:val="1C1C1C"/>
          <w:sz w:val="28"/>
          <w:szCs w:val="28"/>
        </w:rPr>
        <w:t>руб.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 xml:space="preserve"> На содержание мест накопления ТКО необходимо </w:t>
      </w:r>
      <w:r w:rsidR="001927F3">
        <w:rPr>
          <w:rFonts w:ascii="Times New Roman" w:hAnsi="Times New Roman"/>
          <w:color w:val="1C1C1C"/>
          <w:sz w:val="28"/>
          <w:szCs w:val="28"/>
        </w:rPr>
        <w:t>4,0</w:t>
      </w:r>
      <w:r w:rsidR="00A91B38">
        <w:rPr>
          <w:rFonts w:ascii="Times New Roman" w:hAnsi="Times New Roman"/>
          <w:color w:val="1C1C1C"/>
          <w:sz w:val="28"/>
          <w:szCs w:val="28"/>
        </w:rPr>
        <w:t xml:space="preserve"> м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>л</w:t>
      </w:r>
      <w:r w:rsidR="00A91B38">
        <w:rPr>
          <w:rFonts w:ascii="Times New Roman" w:hAnsi="Times New Roman"/>
          <w:color w:val="1C1C1C"/>
          <w:sz w:val="28"/>
          <w:szCs w:val="28"/>
        </w:rPr>
        <w:t>н</w:t>
      </w:r>
      <w:r w:rsidR="001927F3">
        <w:rPr>
          <w:rFonts w:ascii="Times New Roman" w:hAnsi="Times New Roman"/>
          <w:color w:val="1C1C1C"/>
          <w:sz w:val="28"/>
          <w:szCs w:val="28"/>
        </w:rPr>
        <w:t>.</w:t>
      </w:r>
      <w:r w:rsidR="002E3968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1927F3">
        <w:rPr>
          <w:rFonts w:ascii="Times New Roman" w:hAnsi="Times New Roman"/>
          <w:color w:val="1C1C1C"/>
          <w:sz w:val="28"/>
          <w:szCs w:val="28"/>
        </w:rPr>
        <w:t>р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>у</w:t>
      </w:r>
      <w:r w:rsidR="001927F3">
        <w:rPr>
          <w:rFonts w:ascii="Times New Roman" w:hAnsi="Times New Roman"/>
          <w:color w:val="1C1C1C"/>
          <w:sz w:val="28"/>
          <w:szCs w:val="28"/>
        </w:rPr>
        <w:t>б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 xml:space="preserve">. Ещё более </w:t>
      </w:r>
      <w:r w:rsidR="004C791A">
        <w:rPr>
          <w:rFonts w:ascii="Times New Roman" w:hAnsi="Times New Roman"/>
          <w:color w:val="1C1C1C"/>
          <w:sz w:val="28"/>
          <w:szCs w:val="28"/>
        </w:rPr>
        <w:t>3</w:t>
      </w:r>
      <w:r w:rsidR="001927F3">
        <w:rPr>
          <w:rFonts w:ascii="Times New Roman" w:hAnsi="Times New Roman"/>
          <w:color w:val="1C1C1C"/>
          <w:sz w:val="28"/>
          <w:szCs w:val="28"/>
        </w:rPr>
        <w:t>,</w:t>
      </w:r>
      <w:r w:rsidR="004C791A">
        <w:rPr>
          <w:rFonts w:ascii="Times New Roman" w:hAnsi="Times New Roman"/>
          <w:color w:val="1C1C1C"/>
          <w:sz w:val="28"/>
          <w:szCs w:val="28"/>
        </w:rPr>
        <w:t>5</w:t>
      </w:r>
      <w:r w:rsidR="00A91B38">
        <w:rPr>
          <w:rFonts w:ascii="Times New Roman" w:hAnsi="Times New Roman"/>
          <w:color w:val="1C1C1C"/>
          <w:sz w:val="28"/>
          <w:szCs w:val="28"/>
        </w:rPr>
        <w:t xml:space="preserve"> м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>л</w:t>
      </w:r>
      <w:r w:rsidR="00A91B38">
        <w:rPr>
          <w:rFonts w:ascii="Times New Roman" w:hAnsi="Times New Roman"/>
          <w:color w:val="1C1C1C"/>
          <w:sz w:val="28"/>
          <w:szCs w:val="28"/>
        </w:rPr>
        <w:t>н</w:t>
      </w:r>
      <w:proofErr w:type="gramStart"/>
      <w:r w:rsidR="001927F3">
        <w:rPr>
          <w:rFonts w:ascii="Times New Roman" w:hAnsi="Times New Roman"/>
          <w:color w:val="1C1C1C"/>
          <w:sz w:val="28"/>
          <w:szCs w:val="28"/>
        </w:rPr>
        <w:t>.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>р</w:t>
      </w:r>
      <w:proofErr w:type="gramEnd"/>
      <w:r w:rsidR="00D129FE" w:rsidRPr="00D129FE">
        <w:rPr>
          <w:rFonts w:ascii="Times New Roman" w:hAnsi="Times New Roman"/>
          <w:color w:val="1C1C1C"/>
          <w:sz w:val="28"/>
          <w:szCs w:val="28"/>
        </w:rPr>
        <w:t>уб</w:t>
      </w:r>
      <w:r w:rsidR="001927F3">
        <w:rPr>
          <w:rFonts w:ascii="Times New Roman" w:hAnsi="Times New Roman"/>
          <w:color w:val="1C1C1C"/>
          <w:sz w:val="28"/>
          <w:szCs w:val="28"/>
        </w:rPr>
        <w:t>.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 xml:space="preserve"> следует предусмотреть на дезинфекцию контейнеров. В общей сложности на обращение с ТКО в бюджете надо изыскать </w:t>
      </w:r>
      <w:r w:rsidR="001927F3">
        <w:rPr>
          <w:rFonts w:ascii="Times New Roman" w:hAnsi="Times New Roman"/>
          <w:color w:val="1C1C1C"/>
          <w:sz w:val="28"/>
          <w:szCs w:val="28"/>
        </w:rPr>
        <w:t>3</w:t>
      </w:r>
      <w:r w:rsidR="004C791A">
        <w:rPr>
          <w:rFonts w:ascii="Times New Roman" w:hAnsi="Times New Roman"/>
          <w:color w:val="1C1C1C"/>
          <w:sz w:val="28"/>
          <w:szCs w:val="28"/>
        </w:rPr>
        <w:t>6</w:t>
      </w:r>
      <w:r w:rsidR="001927F3">
        <w:rPr>
          <w:rFonts w:ascii="Times New Roman" w:hAnsi="Times New Roman"/>
          <w:color w:val="1C1C1C"/>
          <w:sz w:val="28"/>
          <w:szCs w:val="28"/>
        </w:rPr>
        <w:t>,</w:t>
      </w:r>
      <w:r w:rsidR="004C791A">
        <w:rPr>
          <w:rFonts w:ascii="Times New Roman" w:hAnsi="Times New Roman"/>
          <w:color w:val="1C1C1C"/>
          <w:sz w:val="28"/>
          <w:szCs w:val="28"/>
        </w:rPr>
        <w:t>0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1927F3">
        <w:rPr>
          <w:rFonts w:ascii="Times New Roman" w:hAnsi="Times New Roman"/>
          <w:color w:val="1C1C1C"/>
          <w:sz w:val="28"/>
          <w:szCs w:val="28"/>
        </w:rPr>
        <w:t>млн.</w:t>
      </w:r>
      <w:r w:rsidR="002E3968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D129FE" w:rsidRPr="00D129FE">
        <w:rPr>
          <w:rFonts w:ascii="Times New Roman" w:hAnsi="Times New Roman"/>
          <w:color w:val="1C1C1C"/>
          <w:sz w:val="28"/>
          <w:szCs w:val="28"/>
        </w:rPr>
        <w:t xml:space="preserve">руб. </w:t>
      </w:r>
    </w:p>
    <w:p w:rsidR="004E0323" w:rsidRPr="00D129FE" w:rsidRDefault="004E0323" w:rsidP="00C943EC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9FE">
        <w:rPr>
          <w:rFonts w:ascii="Times New Roman" w:hAnsi="Times New Roman"/>
          <w:sz w:val="28"/>
          <w:szCs w:val="28"/>
        </w:rPr>
        <w:t>На основании вышеизложенного Тальменский районный Совет народных депутатов Алтайского края</w:t>
      </w:r>
      <w:r w:rsidR="00D129FE" w:rsidRPr="00D129FE">
        <w:rPr>
          <w:rFonts w:ascii="Times New Roman" w:hAnsi="Times New Roman"/>
          <w:sz w:val="28"/>
          <w:szCs w:val="28"/>
        </w:rPr>
        <w:t xml:space="preserve">, </w:t>
      </w:r>
    </w:p>
    <w:p w:rsidR="004E0323" w:rsidRPr="008B320A" w:rsidRDefault="004E0323" w:rsidP="00C943EC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0323" w:rsidRDefault="004E0323" w:rsidP="00C943EC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B320A">
        <w:rPr>
          <w:rFonts w:ascii="Times New Roman" w:hAnsi="Times New Roman"/>
          <w:sz w:val="28"/>
          <w:szCs w:val="28"/>
        </w:rPr>
        <w:t>:</w:t>
      </w:r>
    </w:p>
    <w:p w:rsidR="004E0323" w:rsidRPr="008B320A" w:rsidRDefault="004E0323" w:rsidP="00C943EC">
      <w:pPr>
        <w:pStyle w:val="ac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E0323" w:rsidRDefault="004E0323" w:rsidP="00C943EC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 w:rsidR="00F31F7E" w:rsidRPr="00F31F7E">
        <w:rPr>
          <w:rStyle w:val="ad"/>
          <w:szCs w:val="28"/>
        </w:rPr>
        <w:t xml:space="preserve">организации деятельности в сфере обращения с ТКО на территории </w:t>
      </w:r>
      <w:r w:rsidR="00F31F7E" w:rsidRPr="00F31F7E">
        <w:rPr>
          <w:rStyle w:val="ad"/>
        </w:rPr>
        <w:t>Тальменского</w:t>
      </w:r>
      <w:r w:rsidR="00F31F7E" w:rsidRPr="00F31F7E">
        <w:rPr>
          <w:rStyle w:val="ad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4E0323" w:rsidRDefault="004E0323" w:rsidP="00C943EC">
      <w:pPr>
        <w:pStyle w:val="ac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Тальменского района</w:t>
      </w:r>
      <w:r w:rsidR="00F31F7E">
        <w:rPr>
          <w:rFonts w:ascii="Times New Roman" w:hAnsi="Times New Roman"/>
          <w:sz w:val="28"/>
          <w:szCs w:val="28"/>
        </w:rPr>
        <w:t xml:space="preserve"> </w:t>
      </w:r>
      <w:r w:rsidR="00F31F7E" w:rsidRPr="00F31F7E">
        <w:rPr>
          <w:rStyle w:val="ad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DA22D1" w:rsidRDefault="00F31F7E" w:rsidP="00C943EC">
      <w:pPr>
        <w:pStyle w:val="ac"/>
        <w:spacing w:line="276" w:lineRule="auto"/>
        <w:ind w:firstLine="709"/>
        <w:jc w:val="both"/>
        <w:rPr>
          <w:rStyle w:val="ad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="00DA22D1">
        <w:rPr>
          <w:rFonts w:ascii="Times New Roman" w:hAnsi="Times New Roman"/>
          <w:sz w:val="28"/>
          <w:szCs w:val="28"/>
        </w:rPr>
        <w:t>Р</w:t>
      </w:r>
      <w:r w:rsidR="004E0323">
        <w:rPr>
          <w:rFonts w:ascii="Times New Roman" w:hAnsi="Times New Roman"/>
          <w:sz w:val="28"/>
          <w:szCs w:val="28"/>
        </w:rPr>
        <w:t xml:space="preserve">азработать план по реализации </w:t>
      </w:r>
      <w:r w:rsidRPr="001E2029">
        <w:rPr>
          <w:rStyle w:val="ad"/>
        </w:rPr>
        <w:t>мероприятий</w:t>
      </w:r>
      <w:r w:rsidR="001E2029" w:rsidRPr="001E2029">
        <w:rPr>
          <w:rStyle w:val="ad"/>
        </w:rPr>
        <w:t xml:space="preserve">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</w:t>
      </w:r>
      <w:r w:rsidR="001E2029">
        <w:rPr>
          <w:rStyle w:val="ad"/>
        </w:rPr>
        <w:t>и района,</w:t>
      </w:r>
      <w:r w:rsidRPr="001E2029">
        <w:rPr>
          <w:rStyle w:val="ad"/>
        </w:rPr>
        <w:t xml:space="preserve"> н</w:t>
      </w:r>
      <w:r>
        <w:rPr>
          <w:rFonts w:ascii="Times New Roman" w:hAnsi="Times New Roman"/>
          <w:sz w:val="28"/>
          <w:szCs w:val="28"/>
        </w:rPr>
        <w:t>аправленных на осуществление полномочий возложенных в</w:t>
      </w:r>
      <w:r w:rsidRPr="00D665D0">
        <w:rPr>
          <w:sz w:val="28"/>
          <w:szCs w:val="28"/>
        </w:rPr>
        <w:t xml:space="preserve"> </w:t>
      </w:r>
      <w:r w:rsidRPr="00F31F7E">
        <w:rPr>
          <w:rStyle w:val="ad"/>
        </w:rPr>
        <w:t xml:space="preserve">соответствии с </w:t>
      </w:r>
      <w:r w:rsidR="00D129FE">
        <w:rPr>
          <w:rStyle w:val="ad"/>
        </w:rPr>
        <w:t xml:space="preserve">п. 14 </w:t>
      </w:r>
      <w:r w:rsidRPr="00F31F7E">
        <w:rPr>
          <w:rStyle w:val="ad"/>
        </w:rPr>
        <w:t>ч</w:t>
      </w:r>
      <w:r>
        <w:rPr>
          <w:rStyle w:val="ad"/>
        </w:rPr>
        <w:t>.</w:t>
      </w:r>
      <w:r w:rsidRPr="00F31F7E">
        <w:rPr>
          <w:rStyle w:val="ad"/>
        </w:rPr>
        <w:t xml:space="preserve"> </w:t>
      </w:r>
      <w:r w:rsidR="00D129FE">
        <w:rPr>
          <w:rStyle w:val="ad"/>
        </w:rPr>
        <w:t>1</w:t>
      </w:r>
      <w:r w:rsidRPr="00F31F7E">
        <w:rPr>
          <w:rStyle w:val="ad"/>
        </w:rPr>
        <w:t xml:space="preserve"> ст</w:t>
      </w:r>
      <w:r>
        <w:rPr>
          <w:rStyle w:val="ad"/>
        </w:rPr>
        <w:t>.</w:t>
      </w:r>
      <w:r w:rsidRPr="00F31F7E">
        <w:rPr>
          <w:rStyle w:val="ad"/>
        </w:rPr>
        <w:t xml:space="preserve"> 15 Федерального закона от 06.10.2003 N 131-ФЗ «Об общих принципах организации местного самоуправления в Российской Федерации»</w:t>
      </w:r>
      <w:r w:rsidR="00DA22D1">
        <w:rPr>
          <w:rStyle w:val="ad"/>
        </w:rPr>
        <w:t xml:space="preserve"> (далее – «План»)</w:t>
      </w:r>
      <w:r w:rsidR="001E2029">
        <w:rPr>
          <w:rStyle w:val="ad"/>
        </w:rPr>
        <w:t>.</w:t>
      </w:r>
      <w:r w:rsidRPr="00F31F7E">
        <w:rPr>
          <w:rStyle w:val="ad"/>
        </w:rPr>
        <w:t xml:space="preserve"> </w:t>
      </w:r>
      <w:proofErr w:type="gramEnd"/>
    </w:p>
    <w:p w:rsidR="004E0323" w:rsidRPr="00430550" w:rsidRDefault="00DA22D1" w:rsidP="00C943EC">
      <w:pPr>
        <w:pStyle w:val="ac"/>
        <w:spacing w:line="276" w:lineRule="auto"/>
        <w:ind w:firstLine="709"/>
        <w:jc w:val="both"/>
        <w:rPr>
          <w:rStyle w:val="ad"/>
        </w:rPr>
      </w:pPr>
      <w:proofErr w:type="gramStart"/>
      <w:r>
        <w:rPr>
          <w:rStyle w:val="ad"/>
        </w:rPr>
        <w:t xml:space="preserve">б) </w:t>
      </w:r>
      <w:r w:rsidR="001E2029">
        <w:rPr>
          <w:rStyle w:val="ad"/>
        </w:rPr>
        <w:t xml:space="preserve">В состав рабочей группы по </w:t>
      </w:r>
      <w:r>
        <w:rPr>
          <w:rStyle w:val="ad"/>
        </w:rPr>
        <w:t>разработке Плана</w:t>
      </w:r>
      <w:r w:rsidR="001E2029">
        <w:rPr>
          <w:rStyle w:val="ad"/>
        </w:rPr>
        <w:t xml:space="preserve"> </w:t>
      </w:r>
      <w:r w:rsidR="004E0323">
        <w:rPr>
          <w:rFonts w:ascii="Times New Roman" w:hAnsi="Times New Roman"/>
          <w:sz w:val="28"/>
          <w:szCs w:val="28"/>
        </w:rPr>
        <w:t>включить</w:t>
      </w:r>
      <w:r w:rsidR="005F3B94">
        <w:rPr>
          <w:rFonts w:ascii="Times New Roman" w:hAnsi="Times New Roman"/>
          <w:sz w:val="28"/>
          <w:szCs w:val="28"/>
        </w:rPr>
        <w:t xml:space="preserve"> </w:t>
      </w:r>
      <w:r w:rsidR="005F3B94">
        <w:rPr>
          <w:rFonts w:ascii="Times New Roman" w:hAnsi="Times New Roman"/>
          <w:color w:val="000000"/>
          <w:sz w:val="28"/>
          <w:szCs w:val="28"/>
        </w:rPr>
        <w:t>п</w:t>
      </w:r>
      <w:r w:rsidR="005F3B94" w:rsidRPr="005F3B94">
        <w:rPr>
          <w:rFonts w:ascii="Times New Roman" w:hAnsi="Times New Roman"/>
          <w:color w:val="000000"/>
          <w:sz w:val="28"/>
          <w:szCs w:val="28"/>
        </w:rPr>
        <w:t>ерв</w:t>
      </w:r>
      <w:r w:rsidR="005F3B94">
        <w:rPr>
          <w:rFonts w:ascii="Times New Roman" w:hAnsi="Times New Roman"/>
          <w:color w:val="000000"/>
          <w:sz w:val="28"/>
          <w:szCs w:val="28"/>
        </w:rPr>
        <w:t>ого</w:t>
      </w:r>
      <w:r w:rsidR="005F3B94" w:rsidRPr="005F3B94">
        <w:rPr>
          <w:rFonts w:ascii="Times New Roman" w:hAnsi="Times New Roman"/>
          <w:color w:val="000000"/>
          <w:sz w:val="28"/>
          <w:szCs w:val="28"/>
        </w:rPr>
        <w:t xml:space="preserve"> заместител</w:t>
      </w:r>
      <w:r w:rsidR="005F3B94">
        <w:rPr>
          <w:rFonts w:ascii="Times New Roman" w:hAnsi="Times New Roman"/>
          <w:color w:val="000000"/>
          <w:sz w:val="28"/>
          <w:szCs w:val="28"/>
        </w:rPr>
        <w:t>я</w:t>
      </w:r>
      <w:r w:rsidR="005F3B94" w:rsidRPr="005F3B94">
        <w:rPr>
          <w:rFonts w:ascii="Times New Roman" w:hAnsi="Times New Roman"/>
          <w:color w:val="000000"/>
          <w:sz w:val="28"/>
          <w:szCs w:val="28"/>
        </w:rPr>
        <w:t xml:space="preserve"> Главы Администрации района по </w:t>
      </w:r>
      <w:r w:rsidR="005F3B94" w:rsidRPr="005F3B94">
        <w:rPr>
          <w:rFonts w:ascii="Times New Roman" w:hAnsi="Times New Roman"/>
          <w:sz w:val="28"/>
          <w:szCs w:val="28"/>
        </w:rPr>
        <w:t>оперативному управлению</w:t>
      </w:r>
      <w:r w:rsidR="004E0323">
        <w:rPr>
          <w:rFonts w:ascii="Times New Roman" w:hAnsi="Times New Roman"/>
          <w:sz w:val="28"/>
          <w:szCs w:val="28"/>
        </w:rPr>
        <w:t xml:space="preserve"> </w:t>
      </w:r>
      <w:r w:rsidR="005F3B94">
        <w:rPr>
          <w:rFonts w:ascii="Times New Roman" w:hAnsi="Times New Roman"/>
          <w:sz w:val="28"/>
          <w:szCs w:val="28"/>
        </w:rPr>
        <w:t xml:space="preserve">                  С.А. Подболотова, </w:t>
      </w:r>
      <w:r w:rsidR="005F3B94" w:rsidRPr="005F3B94">
        <w:rPr>
          <w:rFonts w:ascii="Times New Roman" w:hAnsi="Times New Roman"/>
          <w:color w:val="000000"/>
          <w:sz w:val="28"/>
          <w:szCs w:val="28"/>
        </w:rPr>
        <w:t>заместител</w:t>
      </w:r>
      <w:r w:rsidR="005F3B94">
        <w:rPr>
          <w:rFonts w:ascii="Times New Roman" w:hAnsi="Times New Roman"/>
          <w:color w:val="000000"/>
          <w:sz w:val="28"/>
          <w:szCs w:val="28"/>
        </w:rPr>
        <w:t>я</w:t>
      </w:r>
      <w:r w:rsidR="005F3B94" w:rsidRPr="005F3B94">
        <w:rPr>
          <w:rFonts w:ascii="Times New Roman" w:hAnsi="Times New Roman"/>
          <w:color w:val="000000"/>
          <w:sz w:val="28"/>
          <w:szCs w:val="28"/>
        </w:rPr>
        <w:t xml:space="preserve"> Главы Администрации района по</w:t>
      </w:r>
      <w:r w:rsidR="005F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3B94">
        <w:rPr>
          <w:rFonts w:ascii="Times New Roman" w:hAnsi="Times New Roman"/>
          <w:color w:val="000000"/>
          <w:sz w:val="28"/>
          <w:szCs w:val="28"/>
        </w:rPr>
        <w:lastRenderedPageBreak/>
        <w:t xml:space="preserve">экономическим вопросам В.Ю. Борисову, </w:t>
      </w:r>
      <w:r w:rsidR="005F3B94">
        <w:rPr>
          <w:rStyle w:val="ad"/>
        </w:rPr>
        <w:t>п</w:t>
      </w:r>
      <w:r w:rsidR="005F3B94" w:rsidRPr="005F3B94">
        <w:rPr>
          <w:rStyle w:val="ad"/>
        </w:rPr>
        <w:t>редседател</w:t>
      </w:r>
      <w:r w:rsidR="005F3B94">
        <w:rPr>
          <w:rStyle w:val="ad"/>
        </w:rPr>
        <w:t>я</w:t>
      </w:r>
      <w:r w:rsidR="005F3B94" w:rsidRPr="005F3B94">
        <w:rPr>
          <w:rStyle w:val="ad"/>
        </w:rPr>
        <w:t xml:space="preserve"> </w:t>
      </w:r>
      <w:proofErr w:type="spellStart"/>
      <w:r w:rsidR="005F3B94" w:rsidRPr="005F3B94">
        <w:rPr>
          <w:rStyle w:val="ad"/>
        </w:rPr>
        <w:t>Райфинкомитета</w:t>
      </w:r>
      <w:proofErr w:type="spellEnd"/>
      <w:r w:rsidR="005F3B94">
        <w:rPr>
          <w:rStyle w:val="ad"/>
        </w:rPr>
        <w:t xml:space="preserve"> Л.Ф. Кононенко, заведующего отделом по ЖКХ Администрации Тальменского района Е.А. </w:t>
      </w:r>
      <w:proofErr w:type="spellStart"/>
      <w:r w:rsidR="005F3B94">
        <w:rPr>
          <w:rStyle w:val="ad"/>
        </w:rPr>
        <w:t>Дюнина</w:t>
      </w:r>
      <w:proofErr w:type="spellEnd"/>
      <w:r w:rsidR="005F3B94">
        <w:rPr>
          <w:rStyle w:val="ad"/>
        </w:rPr>
        <w:t xml:space="preserve">, заместителя </w:t>
      </w:r>
      <w:r w:rsidR="00430550" w:rsidRPr="00430550">
        <w:rPr>
          <w:rStyle w:val="ad"/>
        </w:rPr>
        <w:t>главы Администрации Тальменского поссовета (по оперативному управлению)</w:t>
      </w:r>
      <w:r w:rsidR="00430550">
        <w:rPr>
          <w:rStyle w:val="ad"/>
        </w:rPr>
        <w:t xml:space="preserve"> И.С. </w:t>
      </w:r>
      <w:proofErr w:type="spellStart"/>
      <w:r w:rsidR="00430550">
        <w:rPr>
          <w:rStyle w:val="ad"/>
        </w:rPr>
        <w:t>Клименко</w:t>
      </w:r>
      <w:proofErr w:type="spellEnd"/>
      <w:r w:rsidR="00430550">
        <w:rPr>
          <w:rStyle w:val="ad"/>
        </w:rPr>
        <w:t>, Главу Озёрского сельсовета Тальменского</w:t>
      </w:r>
      <w:proofErr w:type="gramEnd"/>
      <w:r w:rsidR="00430550">
        <w:rPr>
          <w:rStyle w:val="ad"/>
        </w:rPr>
        <w:t xml:space="preserve"> района   С.В. Кузякина,</w:t>
      </w:r>
      <w:r w:rsidR="005F3B94" w:rsidRPr="00430550">
        <w:rPr>
          <w:rStyle w:val="ad"/>
        </w:rPr>
        <w:t xml:space="preserve"> </w:t>
      </w:r>
      <w:r w:rsidR="004E0323" w:rsidRPr="00430550">
        <w:rPr>
          <w:rStyle w:val="ad"/>
        </w:rPr>
        <w:t>депутатов Тальменского районного Совета народных депутатов, членов комиссии по бюджету, налоговой и кредитной политике.</w:t>
      </w:r>
      <w:r w:rsidR="001E2029" w:rsidRPr="00430550">
        <w:rPr>
          <w:rStyle w:val="ad"/>
        </w:rPr>
        <w:t xml:space="preserve"> </w:t>
      </w:r>
    </w:p>
    <w:p w:rsidR="004E0323" w:rsidRDefault="00430550" w:rsidP="00C943EC">
      <w:pPr>
        <w:pStyle w:val="ac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2029">
        <w:rPr>
          <w:rFonts w:ascii="Times New Roman" w:hAnsi="Times New Roman"/>
          <w:sz w:val="28"/>
          <w:szCs w:val="28"/>
        </w:rPr>
        <w:t>)</w:t>
      </w:r>
      <w:r w:rsidR="004E0323">
        <w:rPr>
          <w:rFonts w:ascii="Times New Roman" w:hAnsi="Times New Roman"/>
          <w:sz w:val="28"/>
          <w:szCs w:val="28"/>
        </w:rPr>
        <w:t xml:space="preserve"> вынести </w:t>
      </w:r>
      <w:r w:rsidR="001E2029">
        <w:rPr>
          <w:rFonts w:ascii="Times New Roman" w:hAnsi="Times New Roman"/>
          <w:sz w:val="28"/>
          <w:szCs w:val="28"/>
        </w:rPr>
        <w:t xml:space="preserve">разработанный план </w:t>
      </w:r>
      <w:r w:rsidR="004E0323">
        <w:rPr>
          <w:rFonts w:ascii="Times New Roman" w:hAnsi="Times New Roman"/>
          <w:sz w:val="28"/>
          <w:szCs w:val="28"/>
        </w:rPr>
        <w:t>на рассмотрение</w:t>
      </w:r>
      <w:r w:rsidR="001A0E1F">
        <w:rPr>
          <w:rFonts w:ascii="Times New Roman" w:hAnsi="Times New Roman"/>
          <w:sz w:val="28"/>
          <w:szCs w:val="28"/>
        </w:rPr>
        <w:t xml:space="preserve"> и утверждение</w:t>
      </w:r>
      <w:r w:rsidR="004E0323">
        <w:rPr>
          <w:rFonts w:ascii="Times New Roman" w:hAnsi="Times New Roman"/>
          <w:sz w:val="28"/>
          <w:szCs w:val="28"/>
        </w:rPr>
        <w:t xml:space="preserve"> сессии. </w:t>
      </w:r>
    </w:p>
    <w:p w:rsidR="004E0323" w:rsidRDefault="004E0323" w:rsidP="00C943EC">
      <w:pPr>
        <w:pStyle w:val="ac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51BBE" w:rsidRPr="00351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1BBE" w:rsidRPr="00351BB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депутатскую комиссию по экономике, агропромышленному комплексу и предпринимател</w:t>
      </w:r>
      <w:r w:rsidR="00351BBE">
        <w:rPr>
          <w:rFonts w:ascii="Times New Roman" w:hAnsi="Times New Roman"/>
          <w:sz w:val="28"/>
          <w:szCs w:val="28"/>
        </w:rPr>
        <w:t>ьству (председатель Е.Н. Бушков)</w:t>
      </w:r>
      <w:r w:rsidR="001A0E1F">
        <w:rPr>
          <w:rFonts w:ascii="Times New Roman" w:hAnsi="Times New Roman"/>
          <w:sz w:val="28"/>
          <w:szCs w:val="28"/>
        </w:rPr>
        <w:t>.</w:t>
      </w:r>
    </w:p>
    <w:p w:rsidR="004E0323" w:rsidRDefault="004E0323" w:rsidP="00C943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E0323" w:rsidRDefault="004E0323" w:rsidP="00675C47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C943EC" w:rsidRDefault="00C943EC" w:rsidP="00675C47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4E0323" w:rsidRDefault="004E0323" w:rsidP="00675C47">
      <w:pPr>
        <w:autoSpaceDE w:val="0"/>
        <w:autoSpaceDN w:val="0"/>
        <w:adjustRightInd w:val="0"/>
        <w:spacing w:line="280" w:lineRule="exact"/>
        <w:ind w:firstLine="709"/>
        <w:jc w:val="both"/>
        <w:rPr>
          <w:sz w:val="28"/>
          <w:szCs w:val="28"/>
        </w:rPr>
      </w:pPr>
    </w:p>
    <w:p w:rsidR="00A713F5" w:rsidRPr="00D665D0" w:rsidRDefault="00A713F5" w:rsidP="00675C47">
      <w:pPr>
        <w:spacing w:line="280" w:lineRule="exact"/>
        <w:jc w:val="both"/>
        <w:rPr>
          <w:bCs/>
          <w:color w:val="000000"/>
          <w:sz w:val="28"/>
          <w:szCs w:val="28"/>
        </w:rPr>
      </w:pPr>
      <w:r w:rsidRPr="00D665D0">
        <w:rPr>
          <w:bCs/>
          <w:color w:val="000000"/>
          <w:sz w:val="28"/>
          <w:szCs w:val="28"/>
        </w:rPr>
        <w:t xml:space="preserve">Председатель </w:t>
      </w:r>
      <w:proofErr w:type="gramStart"/>
      <w:r w:rsidRPr="00D665D0">
        <w:rPr>
          <w:bCs/>
          <w:color w:val="000000"/>
          <w:sz w:val="28"/>
          <w:szCs w:val="28"/>
        </w:rPr>
        <w:t>районного</w:t>
      </w:r>
      <w:proofErr w:type="gramEnd"/>
    </w:p>
    <w:p w:rsidR="00A713F5" w:rsidRPr="00D665D0" w:rsidRDefault="00A713F5" w:rsidP="00675C47">
      <w:pPr>
        <w:spacing w:line="280" w:lineRule="exact"/>
        <w:jc w:val="both"/>
        <w:rPr>
          <w:bCs/>
          <w:color w:val="000000"/>
          <w:sz w:val="28"/>
          <w:szCs w:val="28"/>
        </w:rPr>
      </w:pPr>
      <w:r w:rsidRPr="00D665D0">
        <w:rPr>
          <w:bCs/>
          <w:color w:val="000000"/>
          <w:sz w:val="28"/>
          <w:szCs w:val="28"/>
        </w:rPr>
        <w:t xml:space="preserve">Совета народных депутатов                                                  </w:t>
      </w:r>
      <w:r w:rsidR="008232FA">
        <w:rPr>
          <w:bCs/>
          <w:color w:val="000000"/>
          <w:sz w:val="28"/>
          <w:szCs w:val="28"/>
        </w:rPr>
        <w:t xml:space="preserve">      </w:t>
      </w:r>
      <w:r w:rsidR="00C943EC">
        <w:rPr>
          <w:bCs/>
          <w:color w:val="000000"/>
          <w:sz w:val="28"/>
          <w:szCs w:val="28"/>
        </w:rPr>
        <w:t xml:space="preserve"> </w:t>
      </w:r>
      <w:r w:rsidRPr="00D665D0">
        <w:rPr>
          <w:bCs/>
          <w:color w:val="000000"/>
          <w:sz w:val="28"/>
          <w:szCs w:val="28"/>
        </w:rPr>
        <w:t xml:space="preserve">       </w:t>
      </w:r>
      <w:r w:rsidR="00604409">
        <w:rPr>
          <w:bCs/>
          <w:color w:val="000000"/>
          <w:sz w:val="28"/>
          <w:szCs w:val="28"/>
        </w:rPr>
        <w:t>В</w:t>
      </w:r>
      <w:r w:rsidR="001B12AA" w:rsidRPr="00D665D0">
        <w:rPr>
          <w:bCs/>
          <w:color w:val="000000"/>
          <w:sz w:val="28"/>
          <w:szCs w:val="28"/>
        </w:rPr>
        <w:t>.Н.</w:t>
      </w:r>
      <w:r w:rsidR="008232FA">
        <w:rPr>
          <w:bCs/>
          <w:color w:val="000000"/>
          <w:sz w:val="28"/>
          <w:szCs w:val="28"/>
        </w:rPr>
        <w:t xml:space="preserve"> </w:t>
      </w:r>
      <w:r w:rsidR="00604409">
        <w:rPr>
          <w:bCs/>
          <w:color w:val="000000"/>
          <w:sz w:val="28"/>
          <w:szCs w:val="28"/>
        </w:rPr>
        <w:t>Карташев</w:t>
      </w:r>
      <w:r w:rsidR="00863202">
        <w:rPr>
          <w:bCs/>
          <w:color w:val="000000"/>
          <w:sz w:val="28"/>
          <w:szCs w:val="28"/>
        </w:rPr>
        <w:t xml:space="preserve"> </w:t>
      </w:r>
    </w:p>
    <w:p w:rsidR="00C95935" w:rsidRPr="00615350" w:rsidRDefault="00C95935" w:rsidP="00C943EC">
      <w:pPr>
        <w:ind w:left="5103"/>
        <w:rPr>
          <w:sz w:val="27"/>
          <w:szCs w:val="28"/>
        </w:rPr>
      </w:pPr>
      <w:r>
        <w:rPr>
          <w:b/>
          <w:bCs/>
          <w:spacing w:val="20"/>
          <w:sz w:val="26"/>
        </w:rPr>
        <w:br w:type="page"/>
      </w:r>
      <w:r w:rsidRPr="00615350">
        <w:rPr>
          <w:sz w:val="27"/>
          <w:szCs w:val="28"/>
        </w:rPr>
        <w:lastRenderedPageBreak/>
        <w:t>Приложение №</w:t>
      </w:r>
      <w:r w:rsidR="00604409">
        <w:rPr>
          <w:sz w:val="27"/>
          <w:szCs w:val="28"/>
        </w:rPr>
        <w:t xml:space="preserve"> </w:t>
      </w:r>
      <w:r w:rsidRPr="00615350">
        <w:rPr>
          <w:sz w:val="27"/>
          <w:szCs w:val="28"/>
        </w:rPr>
        <w:t>1 к решению</w:t>
      </w:r>
      <w:r>
        <w:rPr>
          <w:sz w:val="27"/>
          <w:szCs w:val="28"/>
        </w:rPr>
        <w:t xml:space="preserve"> </w:t>
      </w:r>
      <w:r w:rsidRPr="00615350">
        <w:rPr>
          <w:sz w:val="27"/>
          <w:szCs w:val="28"/>
        </w:rPr>
        <w:t xml:space="preserve">Тальменского районного Совета народных депутатов </w:t>
      </w:r>
      <w:r>
        <w:rPr>
          <w:sz w:val="27"/>
          <w:szCs w:val="28"/>
        </w:rPr>
        <w:t xml:space="preserve">Алтайского края        </w:t>
      </w:r>
      <w:r w:rsidR="00C943EC">
        <w:rPr>
          <w:sz w:val="27"/>
          <w:szCs w:val="28"/>
        </w:rPr>
        <w:t xml:space="preserve">                   от 31.03.</w:t>
      </w:r>
      <w:r>
        <w:rPr>
          <w:sz w:val="27"/>
          <w:szCs w:val="28"/>
        </w:rPr>
        <w:t xml:space="preserve"> 202</w:t>
      </w:r>
      <w:r w:rsidR="00B274E0">
        <w:rPr>
          <w:sz w:val="27"/>
          <w:szCs w:val="28"/>
        </w:rPr>
        <w:t>3</w:t>
      </w:r>
      <w:r>
        <w:rPr>
          <w:sz w:val="27"/>
          <w:szCs w:val="28"/>
        </w:rPr>
        <w:t xml:space="preserve"> </w:t>
      </w:r>
      <w:r w:rsidRPr="00615350">
        <w:rPr>
          <w:sz w:val="27"/>
          <w:szCs w:val="28"/>
        </w:rPr>
        <w:t xml:space="preserve">№ </w:t>
      </w:r>
      <w:r w:rsidR="00C943EC">
        <w:rPr>
          <w:sz w:val="27"/>
          <w:szCs w:val="28"/>
        </w:rPr>
        <w:t>69</w:t>
      </w:r>
    </w:p>
    <w:p w:rsidR="00C95935" w:rsidRPr="00615350" w:rsidRDefault="00C95935" w:rsidP="00C95935">
      <w:pPr>
        <w:jc w:val="both"/>
        <w:rPr>
          <w:sz w:val="27"/>
          <w:szCs w:val="28"/>
        </w:rPr>
      </w:pPr>
    </w:p>
    <w:p w:rsidR="001927F3" w:rsidRDefault="001927F3" w:rsidP="001927F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Обращение с ТКО</w:t>
      </w:r>
    </w:p>
    <w:p w:rsidR="001927F3" w:rsidRDefault="001927F3" w:rsidP="001927F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Тальменского района Алтайского края </w:t>
      </w:r>
    </w:p>
    <w:p w:rsidR="001927F3" w:rsidRDefault="001927F3" w:rsidP="001927F3">
      <w:pPr>
        <w:jc w:val="center"/>
        <w:rPr>
          <w:rFonts w:eastAsia="Calibri"/>
          <w:sz w:val="28"/>
          <w:szCs w:val="28"/>
        </w:rPr>
      </w:pPr>
    </w:p>
    <w:p w:rsidR="00430550" w:rsidRDefault="001927F3" w:rsidP="001927F3">
      <w:pPr>
        <w:pStyle w:val="11"/>
        <w:ind w:firstLine="709"/>
        <w:jc w:val="both"/>
        <w:rPr>
          <w:sz w:val="28"/>
          <w:szCs w:val="28"/>
        </w:rPr>
      </w:pPr>
      <w:r w:rsidRPr="00274EBF">
        <w:rPr>
          <w:sz w:val="28"/>
          <w:szCs w:val="28"/>
        </w:rPr>
        <w:t xml:space="preserve">Сбор и вывоз </w:t>
      </w:r>
      <w:r>
        <w:rPr>
          <w:sz w:val="28"/>
          <w:szCs w:val="28"/>
        </w:rPr>
        <w:t>твердых коммунальных отходов с 01.01.2019 года</w:t>
      </w:r>
      <w:r w:rsidRPr="00274EBF">
        <w:rPr>
          <w:sz w:val="28"/>
          <w:szCs w:val="28"/>
        </w:rPr>
        <w:t xml:space="preserve"> на территории Тальменского района осуществляет региональный оператор АО «</w:t>
      </w:r>
      <w:proofErr w:type="spellStart"/>
      <w:r w:rsidRPr="00274EBF">
        <w:rPr>
          <w:sz w:val="28"/>
          <w:szCs w:val="28"/>
        </w:rPr>
        <w:t>ЭКО-Комплекс</w:t>
      </w:r>
      <w:proofErr w:type="spellEnd"/>
      <w:r w:rsidRPr="00274EB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30550">
        <w:rPr>
          <w:sz w:val="28"/>
          <w:szCs w:val="28"/>
        </w:rPr>
        <w:t xml:space="preserve"> С 2021 году на основании конкурсных процедур региональным оператором в сфере обращения с ТКО на территории </w:t>
      </w:r>
      <w:proofErr w:type="spellStart"/>
      <w:r w:rsidR="00430550">
        <w:rPr>
          <w:sz w:val="28"/>
          <w:szCs w:val="28"/>
        </w:rPr>
        <w:t>Барнаульской</w:t>
      </w:r>
      <w:proofErr w:type="spellEnd"/>
      <w:r w:rsidR="00430550">
        <w:rPr>
          <w:sz w:val="28"/>
          <w:szCs w:val="28"/>
        </w:rPr>
        <w:t xml:space="preserve"> зоны, в состав которой входит Тальменский район, определен</w:t>
      </w:r>
      <w:proofErr w:type="gramStart"/>
      <w:r w:rsidR="00430550">
        <w:rPr>
          <w:sz w:val="28"/>
          <w:szCs w:val="28"/>
        </w:rPr>
        <w:t xml:space="preserve">о </w:t>
      </w:r>
      <w:r w:rsidR="00430550">
        <w:rPr>
          <w:rFonts w:eastAsia="Times New Roman"/>
          <w:sz w:val="28"/>
          <w:szCs w:val="28"/>
        </w:rPr>
        <w:t>ОО</w:t>
      </w:r>
      <w:r w:rsidR="00430550" w:rsidRPr="00535619">
        <w:rPr>
          <w:rFonts w:eastAsia="Times New Roman"/>
          <w:sz w:val="28"/>
          <w:szCs w:val="28"/>
        </w:rPr>
        <w:t>О</w:t>
      </w:r>
      <w:proofErr w:type="gramEnd"/>
      <w:r w:rsidR="00430550" w:rsidRPr="00535619">
        <w:rPr>
          <w:rFonts w:eastAsia="Times New Roman"/>
          <w:sz w:val="28"/>
          <w:szCs w:val="28"/>
        </w:rPr>
        <w:t xml:space="preserve"> «ЭКО</w:t>
      </w:r>
      <w:r w:rsidR="00430550">
        <w:rPr>
          <w:rFonts w:eastAsia="Times New Roman"/>
          <w:sz w:val="28"/>
          <w:szCs w:val="28"/>
        </w:rPr>
        <w:t>СОЮЗ</w:t>
      </w:r>
      <w:r w:rsidR="00430550" w:rsidRPr="00535619">
        <w:rPr>
          <w:rFonts w:eastAsia="Times New Roman"/>
          <w:sz w:val="28"/>
          <w:szCs w:val="28"/>
        </w:rPr>
        <w:t>»</w:t>
      </w:r>
      <w:r w:rsidR="00430550">
        <w:rPr>
          <w:rFonts w:eastAsia="Times New Roman"/>
          <w:sz w:val="28"/>
          <w:szCs w:val="28"/>
        </w:rPr>
        <w:t>.</w:t>
      </w:r>
      <w:r w:rsidR="00430550">
        <w:rPr>
          <w:sz w:val="28"/>
          <w:szCs w:val="28"/>
        </w:rPr>
        <w:t xml:space="preserve"> </w:t>
      </w:r>
    </w:p>
    <w:p w:rsidR="001927F3" w:rsidRDefault="001927F3" w:rsidP="001927F3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21B50">
        <w:rPr>
          <w:sz w:val="28"/>
          <w:szCs w:val="28"/>
        </w:rPr>
        <w:t xml:space="preserve">бор ТКО осуществляется </w:t>
      </w:r>
      <w:r>
        <w:rPr>
          <w:sz w:val="28"/>
          <w:szCs w:val="28"/>
        </w:rPr>
        <w:t>с установкой металлических контейнеров объемом 0,75 м</w:t>
      </w:r>
      <w:r w:rsidRPr="00E1138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A21B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31 населенных </w:t>
      </w:r>
      <w:r w:rsidRPr="00A21B50">
        <w:rPr>
          <w:sz w:val="28"/>
          <w:szCs w:val="28"/>
        </w:rPr>
        <w:t>пунктах района</w:t>
      </w:r>
      <w:r>
        <w:rPr>
          <w:sz w:val="28"/>
          <w:szCs w:val="28"/>
        </w:rPr>
        <w:t xml:space="preserve">. Бестарным методом сбор осуществляется в 4 населенных пунктах. Региональным оператором принято решение о не </w:t>
      </w:r>
      <w:proofErr w:type="gramStart"/>
      <w:r>
        <w:rPr>
          <w:sz w:val="28"/>
          <w:szCs w:val="28"/>
        </w:rPr>
        <w:t>целесообразном</w:t>
      </w:r>
      <w:proofErr w:type="gramEnd"/>
      <w:r>
        <w:rPr>
          <w:sz w:val="28"/>
          <w:szCs w:val="28"/>
        </w:rPr>
        <w:t xml:space="preserve"> осуществление сбора и вывоза ТКО с территории 7 населенных пунктов с малочисленным количеством проживающих или их отсутствием. </w:t>
      </w:r>
      <w:r w:rsidRPr="00741B16">
        <w:rPr>
          <w:sz w:val="28"/>
          <w:szCs w:val="28"/>
        </w:rPr>
        <w:t>Единый тариф</w:t>
      </w:r>
      <w:r>
        <w:rPr>
          <w:sz w:val="28"/>
          <w:szCs w:val="28"/>
        </w:rPr>
        <w:t xml:space="preserve"> </w:t>
      </w:r>
      <w:r w:rsidRPr="00741B16">
        <w:rPr>
          <w:sz w:val="28"/>
          <w:szCs w:val="28"/>
        </w:rPr>
        <w:t>на услугу регионального оператора по обращению с ТКО</w:t>
      </w:r>
      <w:r>
        <w:rPr>
          <w:sz w:val="28"/>
          <w:szCs w:val="28"/>
        </w:rPr>
        <w:t xml:space="preserve"> составляет - 592,31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>
        <w:rPr>
          <w:sz w:val="28"/>
          <w:szCs w:val="28"/>
          <w:vertAlign w:val="superscript"/>
        </w:rPr>
        <w:t>3</w:t>
      </w:r>
      <w:r w:rsidRPr="00741B16">
        <w:rPr>
          <w:sz w:val="28"/>
          <w:szCs w:val="28"/>
        </w:rPr>
        <w:t>.</w:t>
      </w:r>
      <w:r w:rsidR="00430550">
        <w:rPr>
          <w:sz w:val="28"/>
          <w:szCs w:val="28"/>
        </w:rPr>
        <w:t xml:space="preserve"> </w:t>
      </w:r>
    </w:p>
    <w:p w:rsidR="001927F3" w:rsidRDefault="001927F3" w:rsidP="001927F3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полномочий в области обращения с ТКО за период 2019-2022 г.г. составили: 7,34 млн.</w:t>
      </w:r>
      <w:r w:rsidR="00A91B38">
        <w:rPr>
          <w:sz w:val="28"/>
          <w:szCs w:val="28"/>
        </w:rPr>
        <w:t xml:space="preserve"> </w:t>
      </w:r>
      <w:r>
        <w:rPr>
          <w:sz w:val="28"/>
          <w:szCs w:val="28"/>
        </w:rPr>
        <w:t>руб. в том числе на приобретение металлических 913 контейнеров и строительство 4-х контейнерных площадок (160,0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из них из местного бюджета выделено 1,1 млн.руб. В настоящий момент рыночная стоимость контейнера составляет 12,5 тыс.руб./шт.). </w:t>
      </w:r>
    </w:p>
    <w:p w:rsidR="001927F3" w:rsidRDefault="001927F3" w:rsidP="001927F3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исковых требований прокурора Тальменского района вынесено решение Тальменского районного суда от 15.04.2021 года</w:t>
      </w:r>
      <w:r w:rsidR="00A91B38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которого признано незаконным бездействие Администрации в организации мест для сбора ТКО на территории района, в настоящий момент ведется исполнительное производство. </w:t>
      </w:r>
    </w:p>
    <w:p w:rsidR="001927F3" w:rsidRPr="00103732" w:rsidRDefault="001927F3" w:rsidP="001927F3">
      <w:pPr>
        <w:pStyle w:val="11"/>
        <w:ind w:firstLine="709"/>
        <w:jc w:val="both"/>
        <w:rPr>
          <w:rStyle w:val="ad"/>
        </w:rPr>
      </w:pPr>
      <w:r>
        <w:rPr>
          <w:sz w:val="28"/>
          <w:szCs w:val="28"/>
        </w:rPr>
        <w:t>Необходимо отметить</w:t>
      </w:r>
      <w:r w:rsidR="00A91B3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ст. 8 </w:t>
      </w:r>
      <w:hyperlink r:id="rId7" w:history="1">
        <w:r w:rsidRPr="00103732">
          <w:rPr>
            <w:rStyle w:val="ad"/>
          </w:rPr>
          <w:t>Федеральн</w:t>
        </w:r>
        <w:r>
          <w:rPr>
            <w:rStyle w:val="ad"/>
          </w:rPr>
          <w:t>ого</w:t>
        </w:r>
        <w:r w:rsidRPr="00103732">
          <w:rPr>
            <w:rStyle w:val="ad"/>
          </w:rPr>
          <w:t xml:space="preserve"> закон</w:t>
        </w:r>
        <w:r>
          <w:rPr>
            <w:rStyle w:val="ad"/>
          </w:rPr>
          <w:t>а</w:t>
        </w:r>
        <w:r w:rsidRPr="00103732">
          <w:rPr>
            <w:rStyle w:val="ad"/>
          </w:rPr>
          <w:t xml:space="preserve"> от 24.06.1998 N 89-ФЗ </w:t>
        </w:r>
        <w:r>
          <w:rPr>
            <w:rStyle w:val="ad"/>
          </w:rPr>
          <w:t>«</w:t>
        </w:r>
        <w:r w:rsidRPr="00103732">
          <w:rPr>
            <w:rStyle w:val="ad"/>
          </w:rPr>
          <w:t>Об отходах производства и потребления</w:t>
        </w:r>
        <w:r>
          <w:rPr>
            <w:rStyle w:val="ad"/>
          </w:rPr>
          <w:t>»</w:t>
        </w:r>
      </w:hyperlink>
      <w:r>
        <w:rPr>
          <w:rStyle w:val="ad"/>
        </w:rPr>
        <w:t xml:space="preserve"> к полномочиям органов МСУ относится </w:t>
      </w:r>
      <w:r w:rsidRPr="00103732">
        <w:rPr>
          <w:rStyle w:val="ad"/>
        </w:rPr>
        <w:t>создание и содержание мест (площадок) накопления твердых коммунальных отходов</w:t>
      </w:r>
      <w:r>
        <w:rPr>
          <w:rStyle w:val="ad"/>
        </w:rPr>
        <w:t xml:space="preserve">. </w:t>
      </w:r>
      <w:r w:rsidRPr="00103732">
        <w:rPr>
          <w:rStyle w:val="ad"/>
        </w:rPr>
        <w:t>Работы по содержанию мест (площадок) накопления твердых коммунальных отходов (далее – ТКО) включают в себя их обслуживание и санитарную очистку, в том числе подбор (уборка ТКО, находящихся на месте накопления ТКО (контейнерной площадке) или рядом с таким местом и подметание мусора вокруг контейнеров</w:t>
      </w:r>
      <w:r>
        <w:rPr>
          <w:rStyle w:val="ad"/>
        </w:rPr>
        <w:t xml:space="preserve">, в </w:t>
      </w:r>
      <w:proofErr w:type="gramStart"/>
      <w:r>
        <w:rPr>
          <w:rStyle w:val="ad"/>
        </w:rPr>
        <w:t>связи</w:t>
      </w:r>
      <w:proofErr w:type="gramEnd"/>
      <w:r>
        <w:rPr>
          <w:rStyle w:val="ad"/>
        </w:rPr>
        <w:t xml:space="preserve"> с чем существует необходимость заключения договоров на оказание таких услуг</w:t>
      </w:r>
      <w:r w:rsidR="004C791A">
        <w:rPr>
          <w:rStyle w:val="ad"/>
        </w:rPr>
        <w:t xml:space="preserve"> (ориентировочно 4,0 +3,5 млн.</w:t>
      </w:r>
      <w:r w:rsidR="00A91B38">
        <w:rPr>
          <w:rStyle w:val="ad"/>
        </w:rPr>
        <w:t xml:space="preserve"> </w:t>
      </w:r>
      <w:r w:rsidR="004C791A">
        <w:rPr>
          <w:rStyle w:val="ad"/>
        </w:rPr>
        <w:t>руб.)</w:t>
      </w:r>
      <w:r>
        <w:rPr>
          <w:rStyle w:val="ad"/>
        </w:rPr>
        <w:t>.</w:t>
      </w:r>
      <w:r w:rsidRPr="00103732">
        <w:rPr>
          <w:rStyle w:val="ad"/>
        </w:rPr>
        <w:t xml:space="preserve"> </w:t>
      </w:r>
    </w:p>
    <w:p w:rsidR="00C95935" w:rsidRDefault="001927F3" w:rsidP="001927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701">
        <w:rPr>
          <w:sz w:val="28"/>
          <w:szCs w:val="28"/>
        </w:rPr>
        <w:t>В настоящий момент район испытывает потребность в приобретении 4</w:t>
      </w:r>
      <w:r>
        <w:rPr>
          <w:sz w:val="28"/>
          <w:szCs w:val="28"/>
        </w:rPr>
        <w:t>5</w:t>
      </w:r>
      <w:r w:rsidRPr="00DD0701">
        <w:rPr>
          <w:sz w:val="28"/>
          <w:szCs w:val="28"/>
        </w:rPr>
        <w:t>5 контейнеров и строительстве 456 площадок для размещения контейнеров</w:t>
      </w:r>
      <w:r>
        <w:rPr>
          <w:sz w:val="28"/>
          <w:szCs w:val="28"/>
        </w:rPr>
        <w:t xml:space="preserve"> на сумму более 28,5 млн. руб</w:t>
      </w:r>
      <w:r w:rsidR="00430550">
        <w:rPr>
          <w:sz w:val="28"/>
          <w:szCs w:val="28"/>
        </w:rPr>
        <w:t>.</w:t>
      </w:r>
      <w:r>
        <w:rPr>
          <w:sz w:val="28"/>
          <w:szCs w:val="28"/>
        </w:rPr>
        <w:t>, но</w:t>
      </w:r>
      <w:r w:rsidRPr="00DD0701">
        <w:rPr>
          <w:sz w:val="28"/>
          <w:szCs w:val="28"/>
        </w:rPr>
        <w:t xml:space="preserve"> в связи с дефицитом местного бюджета </w:t>
      </w:r>
      <w:r>
        <w:rPr>
          <w:sz w:val="28"/>
          <w:szCs w:val="28"/>
        </w:rPr>
        <w:t>приобретение и строительство</w:t>
      </w:r>
      <w:r w:rsidRPr="00DD0701">
        <w:rPr>
          <w:sz w:val="28"/>
          <w:szCs w:val="28"/>
        </w:rPr>
        <w:t xml:space="preserve"> за счет средств районного бюджета не представляется возможным</w:t>
      </w:r>
      <w:r>
        <w:rPr>
          <w:sz w:val="28"/>
          <w:szCs w:val="28"/>
        </w:rPr>
        <w:t xml:space="preserve">. На основании изложенного предлагается </w:t>
      </w:r>
      <w:r>
        <w:rPr>
          <w:sz w:val="28"/>
          <w:szCs w:val="28"/>
        </w:rPr>
        <w:lastRenderedPageBreak/>
        <w:t>разработать долгосрочный план строительства контейнерных площадок на территории района, а также запланировать выделение денежных средств на содержание площадок (уборка, услуги дезинфекции).</w:t>
      </w:r>
      <w:r w:rsidR="00F9188A">
        <w:rPr>
          <w:rFonts w:eastAsia="Calibri"/>
          <w:sz w:val="28"/>
          <w:szCs w:val="28"/>
          <w:lang w:eastAsia="en-US"/>
        </w:rPr>
        <w:t xml:space="preserve"> </w:t>
      </w:r>
    </w:p>
    <w:sectPr w:rsidR="00C95935" w:rsidSect="00C943EC">
      <w:pgSz w:w="11906" w:h="16838"/>
      <w:pgMar w:top="568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4D70C2"/>
    <w:multiLevelType w:val="hybridMultilevel"/>
    <w:tmpl w:val="8F46DD7A"/>
    <w:lvl w:ilvl="0" w:tplc="F76CB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46B63"/>
    <w:rsid w:val="00057AAD"/>
    <w:rsid w:val="000E6826"/>
    <w:rsid w:val="000F4F7E"/>
    <w:rsid w:val="000F72FF"/>
    <w:rsid w:val="001023A3"/>
    <w:rsid w:val="001247A0"/>
    <w:rsid w:val="00144E92"/>
    <w:rsid w:val="00147124"/>
    <w:rsid w:val="00157F9F"/>
    <w:rsid w:val="00181FE0"/>
    <w:rsid w:val="001857C1"/>
    <w:rsid w:val="001927F3"/>
    <w:rsid w:val="001A0E1F"/>
    <w:rsid w:val="001B12AA"/>
    <w:rsid w:val="001C480F"/>
    <w:rsid w:val="001D2D96"/>
    <w:rsid w:val="001D38C6"/>
    <w:rsid w:val="001E2029"/>
    <w:rsid w:val="001E740A"/>
    <w:rsid w:val="001E7B17"/>
    <w:rsid w:val="00201FC9"/>
    <w:rsid w:val="00205B46"/>
    <w:rsid w:val="00214FCC"/>
    <w:rsid w:val="0022594D"/>
    <w:rsid w:val="00252D62"/>
    <w:rsid w:val="00254071"/>
    <w:rsid w:val="002552E5"/>
    <w:rsid w:val="00257297"/>
    <w:rsid w:val="00270708"/>
    <w:rsid w:val="002738EA"/>
    <w:rsid w:val="0027611E"/>
    <w:rsid w:val="002A0487"/>
    <w:rsid w:val="002A4948"/>
    <w:rsid w:val="002D2608"/>
    <w:rsid w:val="002D6CD0"/>
    <w:rsid w:val="002E2C7C"/>
    <w:rsid w:val="002E3968"/>
    <w:rsid w:val="002F60C6"/>
    <w:rsid w:val="002F7869"/>
    <w:rsid w:val="00332283"/>
    <w:rsid w:val="00351BBE"/>
    <w:rsid w:val="00354BF0"/>
    <w:rsid w:val="0036136A"/>
    <w:rsid w:val="003A67AD"/>
    <w:rsid w:val="003B5215"/>
    <w:rsid w:val="003C6DCF"/>
    <w:rsid w:val="003E3944"/>
    <w:rsid w:val="00405067"/>
    <w:rsid w:val="00430550"/>
    <w:rsid w:val="00434AA1"/>
    <w:rsid w:val="00440E4A"/>
    <w:rsid w:val="00442F6A"/>
    <w:rsid w:val="0044631C"/>
    <w:rsid w:val="0045409B"/>
    <w:rsid w:val="00456BEF"/>
    <w:rsid w:val="00480942"/>
    <w:rsid w:val="00481250"/>
    <w:rsid w:val="004B5598"/>
    <w:rsid w:val="004B69EE"/>
    <w:rsid w:val="004C2738"/>
    <w:rsid w:val="004C791A"/>
    <w:rsid w:val="004E0323"/>
    <w:rsid w:val="004E5A61"/>
    <w:rsid w:val="004F0888"/>
    <w:rsid w:val="004F7CA8"/>
    <w:rsid w:val="005312FC"/>
    <w:rsid w:val="00551FCF"/>
    <w:rsid w:val="0055249B"/>
    <w:rsid w:val="0056628C"/>
    <w:rsid w:val="00582C0B"/>
    <w:rsid w:val="005936AB"/>
    <w:rsid w:val="00594A27"/>
    <w:rsid w:val="005A2457"/>
    <w:rsid w:val="005B20F0"/>
    <w:rsid w:val="005B3981"/>
    <w:rsid w:val="005B3B82"/>
    <w:rsid w:val="005F3B94"/>
    <w:rsid w:val="00604409"/>
    <w:rsid w:val="00604C76"/>
    <w:rsid w:val="00611A06"/>
    <w:rsid w:val="00625E5F"/>
    <w:rsid w:val="00651BFB"/>
    <w:rsid w:val="00663348"/>
    <w:rsid w:val="00675C47"/>
    <w:rsid w:val="006A5F97"/>
    <w:rsid w:val="006C5637"/>
    <w:rsid w:val="006D37CA"/>
    <w:rsid w:val="006D3801"/>
    <w:rsid w:val="006D6447"/>
    <w:rsid w:val="006E43CB"/>
    <w:rsid w:val="006F2CB8"/>
    <w:rsid w:val="006F303B"/>
    <w:rsid w:val="006F5444"/>
    <w:rsid w:val="007221D4"/>
    <w:rsid w:val="007233C8"/>
    <w:rsid w:val="00723C1C"/>
    <w:rsid w:val="00773A03"/>
    <w:rsid w:val="00776DC3"/>
    <w:rsid w:val="00777A3C"/>
    <w:rsid w:val="00795515"/>
    <w:rsid w:val="00797C3F"/>
    <w:rsid w:val="007A5A60"/>
    <w:rsid w:val="007B727F"/>
    <w:rsid w:val="007C0932"/>
    <w:rsid w:val="007E2BCE"/>
    <w:rsid w:val="00815A93"/>
    <w:rsid w:val="00816A29"/>
    <w:rsid w:val="0082325B"/>
    <w:rsid w:val="008232FA"/>
    <w:rsid w:val="00827FCD"/>
    <w:rsid w:val="00830319"/>
    <w:rsid w:val="00851BBB"/>
    <w:rsid w:val="0086084D"/>
    <w:rsid w:val="00863202"/>
    <w:rsid w:val="008678B9"/>
    <w:rsid w:val="0087725D"/>
    <w:rsid w:val="008810FE"/>
    <w:rsid w:val="00891754"/>
    <w:rsid w:val="008A4A17"/>
    <w:rsid w:val="008C0196"/>
    <w:rsid w:val="008C5ADC"/>
    <w:rsid w:val="008D1C2F"/>
    <w:rsid w:val="008D51A6"/>
    <w:rsid w:val="008F1A8C"/>
    <w:rsid w:val="008F2441"/>
    <w:rsid w:val="008F7E3B"/>
    <w:rsid w:val="00912251"/>
    <w:rsid w:val="009303F9"/>
    <w:rsid w:val="00933E96"/>
    <w:rsid w:val="00934DC9"/>
    <w:rsid w:val="009563D5"/>
    <w:rsid w:val="0096030E"/>
    <w:rsid w:val="00983AF0"/>
    <w:rsid w:val="009B7F6A"/>
    <w:rsid w:val="009C2422"/>
    <w:rsid w:val="009D3E14"/>
    <w:rsid w:val="00A060BB"/>
    <w:rsid w:val="00A079B9"/>
    <w:rsid w:val="00A10D19"/>
    <w:rsid w:val="00A47695"/>
    <w:rsid w:val="00A53D32"/>
    <w:rsid w:val="00A64441"/>
    <w:rsid w:val="00A70160"/>
    <w:rsid w:val="00A713F5"/>
    <w:rsid w:val="00A91B38"/>
    <w:rsid w:val="00A9306E"/>
    <w:rsid w:val="00AC7270"/>
    <w:rsid w:val="00AF1F16"/>
    <w:rsid w:val="00B062FC"/>
    <w:rsid w:val="00B24008"/>
    <w:rsid w:val="00B274E0"/>
    <w:rsid w:val="00B4702D"/>
    <w:rsid w:val="00BA2221"/>
    <w:rsid w:val="00BB2818"/>
    <w:rsid w:val="00BB3A53"/>
    <w:rsid w:val="00BB3C85"/>
    <w:rsid w:val="00BC1C37"/>
    <w:rsid w:val="00BC700F"/>
    <w:rsid w:val="00BD50CA"/>
    <w:rsid w:val="00BE09BC"/>
    <w:rsid w:val="00BE3C53"/>
    <w:rsid w:val="00C01998"/>
    <w:rsid w:val="00C07486"/>
    <w:rsid w:val="00C44289"/>
    <w:rsid w:val="00C77E35"/>
    <w:rsid w:val="00C85A49"/>
    <w:rsid w:val="00C91E04"/>
    <w:rsid w:val="00C943EC"/>
    <w:rsid w:val="00C95935"/>
    <w:rsid w:val="00CA1169"/>
    <w:rsid w:val="00CA23D3"/>
    <w:rsid w:val="00CF42EE"/>
    <w:rsid w:val="00D129FE"/>
    <w:rsid w:val="00D3281F"/>
    <w:rsid w:val="00D55234"/>
    <w:rsid w:val="00D665D0"/>
    <w:rsid w:val="00D75878"/>
    <w:rsid w:val="00D77CC6"/>
    <w:rsid w:val="00D830F3"/>
    <w:rsid w:val="00DA22D1"/>
    <w:rsid w:val="00DA5AEA"/>
    <w:rsid w:val="00DC1E95"/>
    <w:rsid w:val="00DD397B"/>
    <w:rsid w:val="00E01DBF"/>
    <w:rsid w:val="00E02455"/>
    <w:rsid w:val="00E3331D"/>
    <w:rsid w:val="00E360AC"/>
    <w:rsid w:val="00E41A52"/>
    <w:rsid w:val="00E615E9"/>
    <w:rsid w:val="00EA052E"/>
    <w:rsid w:val="00EB2FA2"/>
    <w:rsid w:val="00EB4A5C"/>
    <w:rsid w:val="00ED3A11"/>
    <w:rsid w:val="00ED66E1"/>
    <w:rsid w:val="00F03D7E"/>
    <w:rsid w:val="00F05D82"/>
    <w:rsid w:val="00F143E2"/>
    <w:rsid w:val="00F24D6A"/>
    <w:rsid w:val="00F31F7E"/>
    <w:rsid w:val="00F9188A"/>
    <w:rsid w:val="00FA22CF"/>
    <w:rsid w:val="00FC1FBA"/>
    <w:rsid w:val="00FC4DA8"/>
    <w:rsid w:val="00FE5362"/>
    <w:rsid w:val="00FF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5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ConsPlusNormal">
    <w:name w:val="ConsPlusNormal"/>
    <w:rsid w:val="00A713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830319"/>
    <w:pPr>
      <w:suppressAutoHyphens/>
    </w:pPr>
    <w:rPr>
      <w:rFonts w:eastAsia="Arial"/>
      <w:lang w:eastAsia="ar-SA"/>
    </w:rPr>
  </w:style>
  <w:style w:type="paragraph" w:styleId="a9">
    <w:name w:val="Body Text"/>
    <w:basedOn w:val="a"/>
    <w:link w:val="aa"/>
    <w:rsid w:val="0027611E"/>
    <w:pPr>
      <w:spacing w:after="120"/>
    </w:pPr>
  </w:style>
  <w:style w:type="character" w:customStyle="1" w:styleId="aa">
    <w:name w:val="Основной текст Знак"/>
    <w:basedOn w:val="a0"/>
    <w:link w:val="a9"/>
    <w:rsid w:val="0027611E"/>
    <w:rPr>
      <w:sz w:val="24"/>
      <w:szCs w:val="24"/>
    </w:rPr>
  </w:style>
  <w:style w:type="paragraph" w:styleId="ab">
    <w:name w:val="Normal (Web)"/>
    <w:basedOn w:val="a"/>
    <w:uiPriority w:val="99"/>
    <w:unhideWhenUsed/>
    <w:rsid w:val="00D830F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4E032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31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qFormat/>
    <w:rsid w:val="00F31F7E"/>
    <w:rPr>
      <w:rFonts w:ascii="Times New Roman" w:hAnsi="Times New Roman"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910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C1D0FB-629C-4B1C-8A89-7C29019E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6</cp:revision>
  <cp:lastPrinted>2023-03-28T02:59:00Z</cp:lastPrinted>
  <dcterms:created xsi:type="dcterms:W3CDTF">2023-03-28T03:00:00Z</dcterms:created>
  <dcterms:modified xsi:type="dcterms:W3CDTF">2023-03-31T06:32:00Z</dcterms:modified>
</cp:coreProperties>
</file>