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CellMar>
          <w:left w:w="0" w:type="dxa"/>
          <w:right w:w="0" w:type="dxa"/>
        </w:tblCellMar>
        <w:tblLook w:val="04A0"/>
      </w:tblPr>
      <w:tblGrid>
        <w:gridCol w:w="5474"/>
        <w:gridCol w:w="5476"/>
      </w:tblGrid>
      <w:tr w:rsidR="00F47A91" w:rsidRPr="00F47A91" w:rsidTr="00F47A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N 460</w:t>
            </w: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УКАЗ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 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ПРЕЗИДЕНТА РОССИЙСКОЙ ФЕДЕРАЦИИ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 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ОБ УТВЕРЖДЕНИИ ФОРМЫ СПРАВКИ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О ДОХОДАХ, РАСХОДАХ, ОБ ИМУЩЕСТВЕ И ОБЯЗАТЕЛЬСТВАХ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 xml:space="preserve">ИМУЩЕСТВЕННОГО ХАРАКТЕРА И </w:t>
      </w:r>
      <w:proofErr w:type="gramStart"/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ВНЕСЕНИИ</w:t>
      </w:r>
      <w:proofErr w:type="gramEnd"/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 xml:space="preserve"> ИЗМЕНЕНИЙ В НЕКОТОРЫЕ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b/>
          <w:bCs/>
          <w:color w:val="444455"/>
          <w:sz w:val="20"/>
          <w:lang w:eastAsia="ru-RU"/>
        </w:rPr>
        <w:t>АКТЫ ПРЕЗИДЕНТА РОССИЙСКОЙ ФЕДЕРАЦИИ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 соответствии с федеральными законами от 25 декабря 2008 г. N 273-ФЗ "О противодействии коррупции" и от 3 декабря 2012 г. </w:t>
      </w:r>
      <w:hyperlink r:id="rId4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N 230-ФЗ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"О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контроле за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1. Утвердить прилагаемую </w:t>
      </w:r>
      <w:hyperlink r:id="rId5" w:anchor="Par71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форму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справки о доходах, расходах, об имуществе и обязательствах имущественного характера.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2.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 </w:t>
      </w:r>
      <w:hyperlink r:id="rId6" w:anchor="Par71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форме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справки, утвержденной настоящим Указом.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3.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Внести в </w:t>
      </w:r>
      <w:hyperlink r:id="rId7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2012, N 12, ст. 1391; 2013, N 40, ст. 5044; N 49, ст. 6399) и в </w:t>
      </w:r>
      <w:hyperlink r:id="rId8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Положение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а) в </w:t>
      </w:r>
      <w:hyperlink r:id="rId9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Указе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10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подпункты "б"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- </w:t>
      </w:r>
      <w:hyperlink r:id="rId11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"и" пункта 1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признать утратившими силу;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12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 2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изложить в следующей редакции: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"2.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.";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13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 3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признать утратившим силу;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б) в </w:t>
      </w:r>
      <w:hyperlink r:id="rId14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Положении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 </w:t>
      </w:r>
      <w:hyperlink r:id="rId15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пункте 3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"по утвержденным формам справок" заменить словами "по утвержденной Президентом Российской Федерации форме справки";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 </w:t>
      </w:r>
      <w:hyperlink r:id="rId16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подпункте "б" пункта 4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"по утвержденным формам справок" заменить словами "по утвержденной Президентом Российской Федерации форме справки";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 </w:t>
      </w:r>
      <w:hyperlink r:id="rId17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абзаце втором пункта 5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"по утвержденным формам справок" заменить словами "по утвержденной Президентом Российской Федерации форме справки".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4. Внести в </w:t>
      </w:r>
      <w:hyperlink r:id="rId18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2012, N 12, ст. 1391; 2013, N 14, ст. 1670; N 40, ст. 5044; N 49, ст. 6399) и в </w:t>
      </w:r>
      <w:hyperlink r:id="rId19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Положение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а) в </w:t>
      </w:r>
      <w:hyperlink r:id="rId20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Указе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21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подпункты "б"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- </w:t>
      </w:r>
      <w:hyperlink r:id="rId22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"</w:t>
        </w:r>
        <w:proofErr w:type="spellStart"/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д</w:t>
        </w:r>
        <w:proofErr w:type="spellEnd"/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" пункта 1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признать утратившими силу;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hyperlink r:id="rId23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 2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изложить в следующей редакции: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сведения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о </w:t>
      </w: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lastRenderedPageBreak/>
        <w:t>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б) в </w:t>
      </w:r>
      <w:hyperlink r:id="rId24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абзаце первом пункта 3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5.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Внести в </w:t>
      </w:r>
      <w:hyperlink r:id="rId25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2013, N 40, ст. 5044) изменение, изложив </w:t>
      </w:r>
      <w:hyperlink r:id="rId26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абзац первый пункта 1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в следующей редакции: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"1.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 </w:t>
      </w:r>
      <w:hyperlink r:id="rId27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Положением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:"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6. Внести в </w:t>
      </w:r>
      <w:hyperlink r:id="rId28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а) </w:t>
      </w:r>
      <w:hyperlink r:id="rId29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абзац первый пункта 1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дополнить словами "по утвержденной Президентом Российской Федерации форме справки";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б) в </w:t>
      </w:r>
      <w:hyperlink r:id="rId30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пункте 2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в) в </w:t>
      </w:r>
      <w:hyperlink r:id="rId31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пункте 3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г) в </w:t>
      </w:r>
      <w:hyperlink r:id="rId32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пункте 4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spell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д</w:t>
      </w:r>
      <w:proofErr w:type="spell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) в </w:t>
      </w:r>
      <w:hyperlink r:id="rId33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пункте 5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е) в </w:t>
      </w:r>
      <w:hyperlink r:id="rId34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пункте 6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ж) </w:t>
      </w:r>
      <w:hyperlink r:id="rId35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 8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изложить в следующей редакции: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форма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которой утверждена Президентом Российской Федерации.".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7.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Внести в </w:t>
      </w:r>
      <w:hyperlink r:id="rId36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Указ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а) </w:t>
      </w:r>
      <w:hyperlink r:id="rId37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пункт 9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признать утратившим силу;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б) </w:t>
      </w:r>
      <w:hyperlink r:id="rId38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дополнить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пунктом 9.1 следующего содержания: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"9.1. Установить, что сведения, предусмотренные </w:t>
      </w:r>
      <w:hyperlink r:id="rId39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статьей 3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форма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которой утверждена Президентом Российской Федерации.".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8. Настоящий Указ вступает в силу с 1 января 2015 г.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Президент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Российской Федерации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В.ПУТИН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Москва, Кремль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23 июня 2014 года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N 460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Утверждена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lastRenderedPageBreak/>
        <w:t>Указом Президента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Российской Федерации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от 23 июня 2014 г. N 460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Calibri" w:eastAsia="Times New Roman" w:hAnsi="Calibri" w:cs="Calibri"/>
          <w:color w:val="444455"/>
          <w:bdr w:val="none" w:sz="0" w:space="0" w:color="auto" w:frame="1"/>
          <w:lang w:eastAsia="ru-RU"/>
        </w:rPr>
        <w:br w:type="textWrapping" w:clear="all"/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 В 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(указывается наименование кадрового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 подразделения федерального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 государственного органа, иного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        органа или организации)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 СПРАВКА </w:t>
      </w:r>
      <w:hyperlink r:id="rId40" w:anchor="Par605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&lt;1&gt;</w:t>
        </w:r>
      </w:hyperlink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 о доходах, расходах, об имуществе и обязательствах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 имущественного характера </w:t>
      </w:r>
      <w:hyperlink r:id="rId41" w:anchor="Par606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&lt;2&gt;</w:t>
        </w:r>
      </w:hyperlink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Я, 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__________________________________________________________________________,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  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(фамилия, имя, отчество, дата рождения, серия и номер паспорта,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 дата выдачи и орган, выдавший паспорт)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__________________________________________________________________________,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(место работы (службы), занимаемая (замещаемая) должность; в случае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отсутствия основного места работы (службы) - род занятий; должность,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     на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замещение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которой претендует гражданин (если применимо))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зарегистрированный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по адресу: ____________________________________________,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 (адрес места регистрации)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сообщаю   сведения   о   доходах,   расходах   своих, супруги   (супруга),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несовершеннолетнего ребенка (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нужное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подчеркнуть)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  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(фамилия, имя, отчество, год рождения, серия и номер паспорта,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 дата выдачи и орган, выдавший паспорт)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(адрес места регистрации, основное место работы (службы), занимаемая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 (замещаемая) должность)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(в случае отсутствия основного места работы (службы) - род занятий)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за   отчетный   период   с 1 января 20__ г.   по   31 декабря 20__ г.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об                         имуществе,                         принадлежащем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 (фамилия, имя, отчество)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на   праве   собственности,   о   вкладах в банках, ценных бумагах,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об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обязательствах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имущественного характера по состоянию на "__" ______ 20__ г.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Раздел 1. Сведения о доходах </w:t>
      </w:r>
      <w:hyperlink r:id="rId42" w:anchor="Par607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&lt;3&gt;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3"/>
        <w:gridCol w:w="6897"/>
        <w:gridCol w:w="1919"/>
      </w:tblGrid>
      <w:tr w:rsidR="00F47A91" w:rsidRPr="00F47A91" w:rsidTr="00F47A9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Величина дохода </w:t>
            </w:r>
            <w:hyperlink r:id="rId43" w:anchor="Par608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&lt;4&gt;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(руб.)</w:t>
            </w: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Раздел 2. Сведения о расходах </w:t>
      </w:r>
      <w:hyperlink r:id="rId44" w:anchor="Par609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&lt;5&gt;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2247"/>
        <w:gridCol w:w="1734"/>
        <w:gridCol w:w="3003"/>
        <w:gridCol w:w="1935"/>
      </w:tblGrid>
      <w:tr w:rsidR="00F47A91" w:rsidRPr="00F47A91" w:rsidTr="00F47A91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Основание приобретения </w:t>
            </w:r>
            <w:hyperlink r:id="rId45" w:anchor="Par610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&lt;6&gt;</w:t>
              </w:r>
            </w:hyperlink>
          </w:p>
        </w:tc>
      </w:tr>
      <w:tr w:rsidR="00F47A91" w:rsidRPr="00F47A91" w:rsidTr="00F47A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F47A91" w:rsidRPr="00F47A91" w:rsidTr="00F47A91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Раздел 3. Сведения об имуществе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3.1. Недвижимое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"/>
        <w:gridCol w:w="1848"/>
        <w:gridCol w:w="1787"/>
        <w:gridCol w:w="1735"/>
        <w:gridCol w:w="1272"/>
        <w:gridCol w:w="2308"/>
      </w:tblGrid>
      <w:tr w:rsidR="00F47A91" w:rsidRPr="00F47A91" w:rsidTr="00F47A91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собственности </w:t>
            </w:r>
            <w:hyperlink r:id="rId46" w:anchor="Par611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Основание приобретения и источник средств </w:t>
            </w:r>
            <w:hyperlink r:id="rId47" w:anchor="Par612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&lt;8&gt;</w:t>
              </w:r>
            </w:hyperlink>
          </w:p>
        </w:tc>
      </w:tr>
      <w:tr w:rsidR="00F47A91" w:rsidRPr="00F47A91" w:rsidTr="00F47A91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Земельные участки </w:t>
            </w:r>
            <w:hyperlink r:id="rId48" w:anchor="Par613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&lt;9&gt;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3.2. Транспортные средства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"/>
        <w:gridCol w:w="3308"/>
        <w:gridCol w:w="2975"/>
        <w:gridCol w:w="2648"/>
      </w:tblGrid>
      <w:tr w:rsidR="00F47A91" w:rsidRPr="00F47A91" w:rsidTr="00F47A91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собственности </w:t>
            </w:r>
            <w:hyperlink r:id="rId49" w:anchor="Par614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 регистрации</w:t>
            </w:r>
          </w:p>
        </w:tc>
      </w:tr>
      <w:tr w:rsidR="00F47A91" w:rsidRPr="00F47A91" w:rsidTr="00F47A91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rPr>
          <w:trHeight w:val="340"/>
        </w:trPr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rPr>
          <w:trHeight w:val="680"/>
        </w:trPr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Мототранспортные</w:t>
            </w:r>
            <w:proofErr w:type="spell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Раздел 4. Сведения о счетах в банках и иных кредитных организациях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"/>
        <w:gridCol w:w="2196"/>
        <w:gridCol w:w="1539"/>
        <w:gridCol w:w="1388"/>
        <w:gridCol w:w="1629"/>
        <w:gridCol w:w="2218"/>
      </w:tblGrid>
      <w:tr w:rsidR="00F47A91" w:rsidRPr="00F47A91" w:rsidTr="00F47A91"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и валюта счета </w:t>
            </w:r>
            <w:hyperlink r:id="rId50" w:anchor="Par615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Остаток на счете </w:t>
            </w:r>
            <w:hyperlink r:id="rId51" w:anchor="Par616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&lt;12&gt;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(руб.)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Сумма поступивших на счет денежных средств </w:t>
            </w:r>
            <w:hyperlink r:id="rId52" w:anchor="Par617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&lt;13&gt;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(руб.)</w:t>
            </w:r>
          </w:p>
        </w:tc>
      </w:tr>
      <w:tr w:rsidR="00F47A91" w:rsidRPr="00F47A91" w:rsidTr="00F47A91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47A91" w:rsidRPr="00F47A91" w:rsidTr="00F47A91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Раздел 5. Сведения о ценных бумагах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5.1. Акции и иное участие в коммерческих организациях и фондах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2288"/>
        <w:gridCol w:w="2081"/>
        <w:gridCol w:w="1851"/>
        <w:gridCol w:w="1305"/>
        <w:gridCol w:w="1475"/>
      </w:tblGrid>
      <w:tr w:rsidR="00F47A91" w:rsidRPr="00F47A91" w:rsidTr="00F47A91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и организационно-правовая форма организации </w:t>
            </w:r>
            <w:hyperlink r:id="rId53" w:anchor="Par618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Уставный капитал </w:t>
            </w:r>
            <w:hyperlink r:id="rId54" w:anchor="Par619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&lt;15&gt;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(руб.)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участия </w:t>
            </w:r>
            <w:hyperlink r:id="rId55" w:anchor="Par620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Основание участия </w:t>
            </w:r>
            <w:hyperlink r:id="rId56" w:anchor="Par621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&lt;17&gt;</w:t>
              </w:r>
            </w:hyperlink>
          </w:p>
        </w:tc>
      </w:tr>
      <w:tr w:rsidR="00F47A91" w:rsidRPr="00F47A91" w:rsidTr="00F47A91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47A91" w:rsidRPr="00F47A91" w:rsidTr="00F47A91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5.2. Иные ценные бумаги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"/>
        <w:gridCol w:w="1312"/>
        <w:gridCol w:w="1813"/>
        <w:gridCol w:w="2296"/>
        <w:gridCol w:w="1542"/>
        <w:gridCol w:w="2052"/>
      </w:tblGrid>
      <w:tr w:rsidR="00F47A91" w:rsidRPr="00F47A91" w:rsidTr="00F47A9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ценной бумаги </w:t>
            </w:r>
            <w:hyperlink r:id="rId57" w:anchor="Par622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Общая стоимость </w:t>
            </w:r>
            <w:hyperlink r:id="rId58" w:anchor="Par623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&lt;19&gt;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(руб.)</w:t>
            </w: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Итого   по   </w:t>
      </w:r>
      <w:hyperlink r:id="rId59" w:anchor="Par426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разделу   5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  "Сведения   о   ценных   бумагах"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суммарная</w:t>
      </w:r>
      <w:proofErr w:type="gramEnd"/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коммерческих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организациях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(руб.), 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______________________________________.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Раздел 6. Сведения об обязательствах имущественного характера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6.1. Объекты недвижимого имущества, находящиеся в пользовании </w:t>
      </w:r>
      <w:hyperlink r:id="rId60" w:anchor="Par624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&lt;20&gt;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"/>
        <w:gridCol w:w="1712"/>
        <w:gridCol w:w="1917"/>
        <w:gridCol w:w="1798"/>
        <w:gridCol w:w="2245"/>
        <w:gridCol w:w="1330"/>
      </w:tblGrid>
      <w:tr w:rsidR="00F47A91" w:rsidRPr="00F47A91" w:rsidTr="00F47A9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имущества </w:t>
            </w:r>
            <w:hyperlink r:id="rId61" w:anchor="Par625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и сроки пользования </w:t>
            </w:r>
            <w:hyperlink r:id="rId62" w:anchor="Par626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Основание пользования </w:t>
            </w:r>
            <w:hyperlink r:id="rId63" w:anchor="Par627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(кв. м)</w:t>
            </w: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6.2. Срочные обязательства финансового характера </w:t>
      </w:r>
      <w:hyperlink r:id="rId64" w:anchor="Par628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&lt;24&gt;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"/>
        <w:gridCol w:w="1826"/>
        <w:gridCol w:w="1523"/>
        <w:gridCol w:w="1920"/>
        <w:gridCol w:w="1990"/>
        <w:gridCol w:w="1827"/>
      </w:tblGrid>
      <w:tr w:rsidR="00F47A91" w:rsidRPr="00F47A91" w:rsidTr="00F47A91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Содержание обязательства </w:t>
            </w:r>
            <w:hyperlink r:id="rId65" w:anchor="Par629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Кредитор (должник) </w:t>
            </w:r>
            <w:hyperlink r:id="rId66" w:anchor="Par630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Основание возникновения </w:t>
            </w:r>
            <w:hyperlink r:id="rId67" w:anchor="Par631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Сумма обязательства/размер обязательства по состоянию на </w:t>
            </w: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отчетную дату </w:t>
            </w:r>
            <w:hyperlink r:id="rId68" w:anchor="Par632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&lt;28&gt;</w:t>
              </w:r>
            </w:hyperlink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(руб.)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Условия обязательства </w:t>
            </w:r>
            <w:hyperlink r:id="rId69" w:anchor="Par633" w:history="1">
              <w:r w:rsidRPr="00F47A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&lt;29&gt;</w:t>
              </w:r>
            </w:hyperlink>
          </w:p>
        </w:tc>
      </w:tr>
      <w:tr w:rsidR="00F47A91" w:rsidRPr="00F47A91" w:rsidTr="00F47A9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47A91" w:rsidRPr="00F47A91" w:rsidTr="00F47A9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A91" w:rsidRPr="00F47A91" w:rsidTr="00F47A9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A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47A91" w:rsidRPr="00F47A91" w:rsidRDefault="00F47A91" w:rsidP="00F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 Достоверность и полноту настоящих сведений подтверждаю.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"__" _______________ 20__ г. 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                 (подпись лица, представляющего сведения)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              (Ф.И.О. и подпись лица, принявшего справку)</w:t>
      </w:r>
    </w:p>
    <w:p w:rsidR="00F47A91" w:rsidRPr="00F47A91" w:rsidRDefault="00F47A91" w:rsidP="00F47A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Courier New" w:eastAsia="Times New Roman" w:hAnsi="Courier New" w:cs="Courier New"/>
          <w:color w:val="444455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--------------------------------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З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&lt;3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доходы (включая пенсии, пособия, иные выплаты) за отчетный период.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&lt;5&gt; Сведения о расходах представляются в случаях, установленных </w:t>
      </w:r>
      <w:hyperlink r:id="rId70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статьей 3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 Федерального закона от 3 декабря 2012 г. N 230-ФЗ "О 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контроле за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&lt;6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&lt;7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&lt;8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71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частью 1 статьи 4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&lt;9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&lt;10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&lt;11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&lt;13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&lt;14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lastRenderedPageBreak/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&lt;17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&lt;18&gt; Указываются все ценные бумаги по видам (облигации, векселя и другие), за исключением акций, указанных в </w:t>
      </w:r>
      <w:hyperlink r:id="rId72" w:anchor="Par428" w:history="1">
        <w:r w:rsidRPr="00F47A91">
          <w:rPr>
            <w:rFonts w:ascii="Arial" w:eastAsia="Times New Roman" w:hAnsi="Arial" w:cs="Arial"/>
            <w:color w:val="0000FF"/>
            <w:sz w:val="20"/>
            <w:lang w:eastAsia="ru-RU"/>
          </w:rPr>
          <w:t>подразделе 5.1</w:t>
        </w:r>
      </w:hyperlink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 "Акции и иное участие в коммерческих организациях и фондах".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&lt;19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&lt;20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по состоянию на отчетную дату.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&lt;21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вид недвижимого имущества (земельный участок, жилой дом, дача и другие).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&lt;22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&lt;23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&lt;24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&lt;25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существо обязательства (заем, кредит и другие).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&lt;26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&lt;27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&lt;28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47A91" w:rsidRPr="00F47A91" w:rsidRDefault="00F47A91" w:rsidP="00F47A9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&lt;29</w:t>
      </w:r>
      <w:proofErr w:type="gramStart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47A91">
        <w:rPr>
          <w:rFonts w:ascii="Arial" w:eastAsia="Times New Roman" w:hAnsi="Arial" w:cs="Arial"/>
          <w:color w:val="444455"/>
          <w:sz w:val="20"/>
          <w:szCs w:val="20"/>
          <w:bdr w:val="none" w:sz="0" w:space="0" w:color="auto" w:frame="1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47A91" w:rsidRDefault="00F47A91"/>
    <w:sectPr w:rsidR="00F4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91"/>
    <w:rsid w:val="00F4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A91"/>
    <w:rPr>
      <w:b/>
      <w:bCs/>
    </w:rPr>
  </w:style>
  <w:style w:type="character" w:styleId="a5">
    <w:name w:val="Hyperlink"/>
    <w:basedOn w:val="a0"/>
    <w:uiPriority w:val="99"/>
    <w:semiHidden/>
    <w:unhideWhenUsed/>
    <w:rsid w:val="00F47A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7A91"/>
    <w:rPr>
      <w:color w:val="800080"/>
      <w:u w:val="single"/>
    </w:rPr>
  </w:style>
  <w:style w:type="paragraph" w:customStyle="1" w:styleId="consplusnonformat">
    <w:name w:val="consplusnonformat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B1A2A660E05B06F54342D877A2B475AE3FD19E035D9EC7E34D38689B117A3DF365A4BC49F898CAs2c3I" TargetMode="External"/><Relationship Id="rId18" Type="http://schemas.openxmlformats.org/officeDocument/2006/relationships/hyperlink" Target="consultantplus://offline/ref=22B1A2A660E05B06F54342D877A2B475AE3FD19E0B5F9EC7E34D38689Bs1c1I" TargetMode="External"/><Relationship Id="rId26" Type="http://schemas.openxmlformats.org/officeDocument/2006/relationships/hyperlink" Target="consultantplus://offline/ref=22B1A2A660E05B06F54342D877A2B475AE3CD79D0A5F9EC7E34D38689B117A3DF365A4BC49F898CBs2cCI" TargetMode="External"/><Relationship Id="rId39" Type="http://schemas.openxmlformats.org/officeDocument/2006/relationships/hyperlink" Target="consultantplus://offline/ref=22B1A2A660E05B06F54342D877A2B475AE3ED79D015C9EC7E34D38689B117A3DF365A4BC49F898C9s2cCI" TargetMode="External"/><Relationship Id="rId21" Type="http://schemas.openxmlformats.org/officeDocument/2006/relationships/hyperlink" Target="consultantplus://offline/ref=22B1A2A660E05B06F54342D877A2B475AE3FD19E0B5F9EC7E34D38689B117A3DF365A4BC49F898CBs2c2I" TargetMode="External"/><Relationship Id="rId34" Type="http://schemas.openxmlformats.org/officeDocument/2006/relationships/hyperlink" Target="consultantplus://offline/ref=22B1A2A660E05B06F54342D877A2B475AE3FD39C035A9EC7E34D38689B117A3DF365A4BC49F898C9s2cFI" TargetMode="External"/><Relationship Id="rId42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47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0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5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3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8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7" Type="http://schemas.openxmlformats.org/officeDocument/2006/relationships/hyperlink" Target="consultantplus://offline/ref=22B1A2A660E05B06F54342D877A2B475AE3FD19E035D9EC7E34D38689Bs1c1I" TargetMode="External"/><Relationship Id="rId71" Type="http://schemas.openxmlformats.org/officeDocument/2006/relationships/hyperlink" Target="consultantplus://offline/ref=22B1A2A660E05B06F54342D877A2B475AE3ED79D065B9EC7E34D38689B117A3DF365A4BC49F898C8s2c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B1A2A660E05B06F54342D877A2B475AE3FD19E035D9EC7E34D38689B117A3DF365A4BC49F999CDs2cFI" TargetMode="External"/><Relationship Id="rId29" Type="http://schemas.openxmlformats.org/officeDocument/2006/relationships/hyperlink" Target="consultantplus://offline/ref=22B1A2A660E05B06F54342D877A2B475AE3FD39C035A9EC7E34D38689B117A3DF365A4BC49F898CBs2cCI" TargetMode="External"/><Relationship Id="rId11" Type="http://schemas.openxmlformats.org/officeDocument/2006/relationships/hyperlink" Target="consultantplus://offline/ref=22B1A2A660E05B06F54342D877A2B475AE3FD19E035D9EC7E34D38689B117A3DF365A4BC49F898CAs2cDI" TargetMode="External"/><Relationship Id="rId24" Type="http://schemas.openxmlformats.org/officeDocument/2006/relationships/hyperlink" Target="consultantplus://offline/ref=22B1A2A660E05B06F54342D877A2B475AE3FD19E0B5F9EC7E34D38689B117A3DF365A4BC49F898C9s2cCI" TargetMode="External"/><Relationship Id="rId32" Type="http://schemas.openxmlformats.org/officeDocument/2006/relationships/hyperlink" Target="consultantplus://offline/ref=22B1A2A660E05B06F54342D877A2B475AE3FD39C035A9EC7E34D38689B117A3DF365A4BC49F898C9s2c9I" TargetMode="External"/><Relationship Id="rId37" Type="http://schemas.openxmlformats.org/officeDocument/2006/relationships/hyperlink" Target="consultantplus://offline/ref=22B1A2A660E05B06F54342D877A2B475AE3CD09A03519EC7E34D38689B117A3DF365A4BC49F898C8s2cEI" TargetMode="External"/><Relationship Id="rId40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45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3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8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6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15" Type="http://schemas.openxmlformats.org/officeDocument/2006/relationships/hyperlink" Target="consultantplus://offline/ref=22B1A2A660E05B06F54342D877A2B475AE3FD19E035D9EC7E34D38689B117A3DF365A4BC49F898C9s2cCI" TargetMode="External"/><Relationship Id="rId23" Type="http://schemas.openxmlformats.org/officeDocument/2006/relationships/hyperlink" Target="consultantplus://offline/ref=22B1A2A660E05B06F54342D877A2B475AE3FD19E0B5F9EC7E34D38689B117A3DF365A4BC49F898CAs2c8I" TargetMode="External"/><Relationship Id="rId28" Type="http://schemas.openxmlformats.org/officeDocument/2006/relationships/hyperlink" Target="consultantplus://offline/ref=22B1A2A660E05B06F54342D877A2B475AE3FD39C035A9EC7E34D38689Bs1c1I" TargetMode="External"/><Relationship Id="rId36" Type="http://schemas.openxmlformats.org/officeDocument/2006/relationships/hyperlink" Target="consultantplus://offline/ref=22B1A2A660E05B06F54342D877A2B475AE3CD09A03519EC7E34D38689Bs1c1I" TargetMode="External"/><Relationship Id="rId49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7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1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10" Type="http://schemas.openxmlformats.org/officeDocument/2006/relationships/hyperlink" Target="consultantplus://offline/ref=22B1A2A660E05B06F54342D877A2B475AE3FD19E035D9EC7E34D38689B117A3DF365A4BC49F898CBs2c2I" TargetMode="External"/><Relationship Id="rId19" Type="http://schemas.openxmlformats.org/officeDocument/2006/relationships/hyperlink" Target="consultantplus://offline/ref=22B1A2A660E05B06F54342D877A2B475AE3FD19E0B5F9EC7E34D38689B117A3DF365A4BC49F898C9s2cFI" TargetMode="External"/><Relationship Id="rId31" Type="http://schemas.openxmlformats.org/officeDocument/2006/relationships/hyperlink" Target="consultantplus://offline/ref=22B1A2A660E05B06F54342D877A2B475AE3FD39C035A9EC7E34D38689B117A3DF365A4BC49F898C9s2cAI" TargetMode="External"/><Relationship Id="rId44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2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0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5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22B1A2A660E05B06F54342D877A2B475AE3ED79D015C9EC7E34D38689Bs1c1I" TargetMode="External"/><Relationship Id="rId9" Type="http://schemas.openxmlformats.org/officeDocument/2006/relationships/hyperlink" Target="consultantplus://offline/ref=22B1A2A660E05B06F54342D877A2B475AE3FD19E035D9EC7E34D38689Bs1c1I" TargetMode="External"/><Relationship Id="rId14" Type="http://schemas.openxmlformats.org/officeDocument/2006/relationships/hyperlink" Target="consultantplus://offline/ref=22B1A2A660E05B06F54342D877A2B475AE3FD19E035D9EC7E34D38689B117A3DF365A4BC49F898C9s2cFI" TargetMode="External"/><Relationship Id="rId22" Type="http://schemas.openxmlformats.org/officeDocument/2006/relationships/hyperlink" Target="consultantplus://offline/ref=22B1A2A660E05B06F54342D877A2B475AE3FD19E0B5F9EC7E34D38689B117A3DF365A4BC49F898CAs2c9I" TargetMode="External"/><Relationship Id="rId27" Type="http://schemas.openxmlformats.org/officeDocument/2006/relationships/hyperlink" Target="consultantplus://offline/ref=22B1A2A660E05B06F54342D877A2B475AE3FD19E0B5F9EC7E34D38689B117A3DF365A4BC49F898C9s2cFI" TargetMode="External"/><Relationship Id="rId30" Type="http://schemas.openxmlformats.org/officeDocument/2006/relationships/hyperlink" Target="consultantplus://offline/ref=22B1A2A660E05B06F54342D877A2B475AE3FD39C035A9EC7E34D38689B117A3DF365A4BC49F898C9s2cBI" TargetMode="External"/><Relationship Id="rId35" Type="http://schemas.openxmlformats.org/officeDocument/2006/relationships/hyperlink" Target="consultantplus://offline/ref=22B1A2A660E05B06F54342D877A2B475AE3FD39C035A9EC7E34D38689B117A3DF365A4BC49F898C8s2cBI" TargetMode="External"/><Relationship Id="rId43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48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6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4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9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8" Type="http://schemas.openxmlformats.org/officeDocument/2006/relationships/hyperlink" Target="consultantplus://offline/ref=22B1A2A660E05B06F54342D877A2B475AE3FD19E035D9EC7E34D38689B117A3DF365A4BC49F898C9s2cFI" TargetMode="External"/><Relationship Id="rId51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72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B1A2A660E05B06F54342D877A2B475AE3FD19E035D9EC7E34D38689B117A3DF365A4BC49F898CAs2cCI" TargetMode="External"/><Relationship Id="rId17" Type="http://schemas.openxmlformats.org/officeDocument/2006/relationships/hyperlink" Target="consultantplus://offline/ref=22B1A2A660E05B06F54342D877A2B475AE3FD19E035D9EC7E34D38689B117A3DF365A4BC49F898C8s2c9I" TargetMode="External"/><Relationship Id="rId25" Type="http://schemas.openxmlformats.org/officeDocument/2006/relationships/hyperlink" Target="consultantplus://offline/ref=22B1A2A660E05B06F54342D877A2B475AE3CD79D0A5F9EC7E34D38689Bs1c1I" TargetMode="External"/><Relationship Id="rId33" Type="http://schemas.openxmlformats.org/officeDocument/2006/relationships/hyperlink" Target="consultantplus://offline/ref=22B1A2A660E05B06F54342D877A2B475AE3FD39C035A9EC7E34D38689B117A3DF365A4BC49F898C9s2c8I" TargetMode="External"/><Relationship Id="rId38" Type="http://schemas.openxmlformats.org/officeDocument/2006/relationships/hyperlink" Target="consultantplus://offline/ref=22B1A2A660E05B06F54342D877A2B475AE3CD09A03519EC7E34D38689Bs1c1I" TargetMode="External"/><Relationship Id="rId46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9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7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20" Type="http://schemas.openxmlformats.org/officeDocument/2006/relationships/hyperlink" Target="consultantplus://offline/ref=22B1A2A660E05B06F54342D877A2B475AE3FD19E0B5F9EC7E34D38689Bs1c1I" TargetMode="External"/><Relationship Id="rId41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54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62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Relationship Id="rId70" Type="http://schemas.openxmlformats.org/officeDocument/2006/relationships/hyperlink" Target="consultantplus://offline/ref=22B1A2A660E05B06F54342D877A2B475AE3ED79D015C9EC7E34D38689B117A3DF365A4BC49F898C9s2cCI" TargetMode="External"/><Relationship Id="rId1" Type="http://schemas.openxmlformats.org/officeDocument/2006/relationships/styles" Target="styles.xml"/><Relationship Id="rId6" Type="http://schemas.openxmlformats.org/officeDocument/2006/relationships/hyperlink" Target="https://tal-alt.ru/index.php/vlast/protivodejstvie-korruptsii/normativnye-pravovye-akty-v-sfere-protivodejstviya-korruptsii/3183-ukaz-prezidenta-rf-ot-23-06-2014-g-460-ob-utverzhdenii-formy-spravki-o-dokhodakh-raskhodakh-ob-imushche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5067</Words>
  <Characters>28883</Characters>
  <Application>Microsoft Office Word</Application>
  <DocSecurity>0</DocSecurity>
  <Lines>240</Lines>
  <Paragraphs>67</Paragraphs>
  <ScaleCrop>false</ScaleCrop>
  <Company/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2023-04-20T16:16:00Z</dcterms:created>
  <dcterms:modified xsi:type="dcterms:W3CDTF">2023-04-20T16:28:00Z</dcterms:modified>
</cp:coreProperties>
</file>