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Постановление Правительства РФ от 01.10.2020 N 1576</w:t>
              <w:br/>
              <w:t xml:space="preserve">(ред. от 27.01.2022)</w:t>
              <w:br/>
              <w:t xml:space="preserve">"Об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 октября 2020 г. N 1576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ОСУЩЕСТВЛЕНИЯ КОНТРОЛЯ В СФЕРЕ ЗАКУПОК ТОВАРОВ, РАБОТ,</w:t>
      </w:r>
    </w:p>
    <w:p>
      <w:pPr>
        <w:pStyle w:val="2"/>
        <w:jc w:val="center"/>
      </w:pPr>
      <w:r>
        <w:rPr>
          <w:sz w:val="20"/>
        </w:rPr>
        <w:t xml:space="preserve">УСЛУГ В ОТНОШЕНИИ ЗАКАЗЧИКОВ, КОНТРАКТНЫХ СЛУЖБ,</w:t>
      </w:r>
    </w:p>
    <w:p>
      <w:pPr>
        <w:pStyle w:val="2"/>
        <w:jc w:val="center"/>
      </w:pPr>
      <w:r>
        <w:rPr>
          <w:sz w:val="20"/>
        </w:rPr>
        <w:t xml:space="preserve">КОНТРАКТНЫХ УПРАВЛЯЮЩИХ, КОМИССИЙ ПО ОСУЩЕСТВЛЕНИЮ ЗАКУПОК</w:t>
      </w:r>
    </w:p>
    <w:p>
      <w:pPr>
        <w:pStyle w:val="2"/>
        <w:jc w:val="center"/>
      </w:pPr>
      <w:r>
        <w:rPr>
          <w:sz w:val="20"/>
        </w:rPr>
        <w:t xml:space="preserve">ТОВАРОВ, РАБОТ, УСЛУГ И ИХ ЧЛЕНОВ, УПОЛНОМОЧЕННЫХ ОРГАНОВ,</w:t>
      </w:r>
    </w:p>
    <w:p>
      <w:pPr>
        <w:pStyle w:val="2"/>
        <w:jc w:val="center"/>
      </w:pPr>
      <w:r>
        <w:rPr>
          <w:sz w:val="20"/>
        </w:rPr>
        <w:t xml:space="preserve">УПОЛНОМОЧЕННЫХ УЧРЕЖДЕНИЙ, СПЕЦИАЛИЗИРОВАННЫХ ОРГАНИЗАЦИЙ,</w:t>
      </w:r>
    </w:p>
    <w:p>
      <w:pPr>
        <w:pStyle w:val="2"/>
        <w:jc w:val="center"/>
      </w:pPr>
      <w:r>
        <w:rPr>
          <w:sz w:val="20"/>
        </w:rPr>
        <w:t xml:space="preserve">ОПЕРАТОРОВ ЭЛЕКТРОННЫХ ПЛОЩАДОК, ОПЕРАТОРОВ</w:t>
      </w:r>
    </w:p>
    <w:p>
      <w:pPr>
        <w:pStyle w:val="2"/>
        <w:jc w:val="center"/>
      </w:pPr>
      <w:r>
        <w:rPr>
          <w:sz w:val="20"/>
        </w:rPr>
        <w:t xml:space="preserve">СПЕЦИАЛИЗИРОВАННЫХ ЭЛЕКТРОННЫХ ПЛОЩАДОК, БАНКОВ,</w:t>
      </w:r>
    </w:p>
    <w:p>
      <w:pPr>
        <w:pStyle w:val="2"/>
        <w:jc w:val="center"/>
      </w:pPr>
      <w:r>
        <w:rPr>
          <w:sz w:val="20"/>
        </w:rPr>
        <w:t xml:space="preserve">ГОСУДАРСТВЕННОЙ КОРПОРАЦИИ РАЗВИТИЯ "ВЭБ.РФ", РЕГИОНАЛЬНЫХ</w:t>
      </w:r>
    </w:p>
    <w:p>
      <w:pPr>
        <w:pStyle w:val="2"/>
        <w:jc w:val="center"/>
      </w:pPr>
      <w:r>
        <w:rPr>
          <w:sz w:val="20"/>
        </w:rPr>
        <w:t xml:space="preserve">ГАРАНТИЙНЫХ ОРГАНИЗАЦИЙ И О ВНЕСЕНИИ ИЗМЕНЕНИЙ В ПРАВИЛА</w:t>
      </w:r>
    </w:p>
    <w:p>
      <w:pPr>
        <w:pStyle w:val="2"/>
        <w:jc w:val="center"/>
      </w:pPr>
      <w:r>
        <w:rPr>
          <w:sz w:val="20"/>
        </w:rPr>
        <w:t xml:space="preserve">ВЕДЕНИЯ РЕЕСТРА ЖАЛОБ, ПЛАНОВЫХ И ВНЕПЛАНОВЫХ ПРОВЕРОК,</w:t>
      </w:r>
    </w:p>
    <w:p>
      <w:pPr>
        <w:pStyle w:val="2"/>
        <w:jc w:val="center"/>
      </w:pPr>
      <w:r>
        <w:rPr>
          <w:sz w:val="20"/>
        </w:rPr>
        <w:t xml:space="preserve">ПРИНЯТЫХ ПО НИМ РЕШЕНИЙ И ВЫДАННЫХ ПРЕДПИСАНИЙ,</w:t>
      </w:r>
    </w:p>
    <w:p>
      <w:pPr>
        <w:pStyle w:val="2"/>
        <w:jc w:val="center"/>
      </w:pPr>
      <w:r>
        <w:rPr>
          <w:sz w:val="20"/>
        </w:rPr>
        <w:t xml:space="preserve">ПРЕДСТАВЛЕНИЙ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25.11.2021 </w:t>
            </w:r>
            <w:hyperlink w:history="0" r:id="rId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N 2044</w:t>
              </w:r>
            </w:hyperlink>
            <w:r>
              <w:rPr>
                <w:sz w:val="20"/>
                <w:color w:val="392c69"/>
              </w:rPr>
              <w:t xml:space="preserve">,</w:t>
            </w:r>
          </w:p>
          <w:p>
            <w:pPr>
              <w:pStyle w:val="0"/>
              <w:jc w:val="center"/>
            </w:pPr>
            <w:r>
              <w:rPr>
                <w:sz w:val="20"/>
                <w:color w:val="392c69"/>
              </w:rPr>
              <w:t xml:space="preserve">от 27.01.2022 </w:t>
            </w:r>
            <w:hyperlink w:history="0" r:id="rId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N 60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 статьи 99</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6" w:tooltip="ПРАВИЛА">
        <w:r>
          <w:rPr>
            <w:sz w:val="20"/>
            <w:color w:val="0000ff"/>
          </w:rPr>
          <w:t xml:space="preserve">Правила</w:t>
        </w:r>
      </w:hyperlink>
      <w:r>
        <w:rPr>
          <w:sz w:val="20"/>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w:t>
      </w:r>
    </w:p>
    <w:p>
      <w:pPr>
        <w:pStyle w:val="0"/>
        <w:jc w:val="both"/>
      </w:pPr>
      <w:r>
        <w:rPr>
          <w:sz w:val="20"/>
        </w:rPr>
        <w:t xml:space="preserve">(в ред. </w:t>
      </w:r>
      <w:hyperlink w:history="0" r:id="rId10"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bookmarkStart w:id="27" w:name="P27"/>
    <w:bookmarkEnd w:id="27"/>
    <w:p>
      <w:pPr>
        <w:pStyle w:val="0"/>
        <w:spacing w:before="200" w:line-rule="auto"/>
        <w:ind w:firstLine="540"/>
        <w:jc w:val="both"/>
      </w:pPr>
      <w:r>
        <w:rPr>
          <w:sz w:val="20"/>
        </w:rPr>
        <w:t xml:space="preserve">абзац утратил силу. - </w:t>
      </w:r>
      <w:hyperlink w:history="0" r:id="rId1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Постановление</w:t>
        </w:r>
      </w:hyperlink>
      <w:r>
        <w:rPr>
          <w:sz w:val="20"/>
        </w:rPr>
        <w:t xml:space="preserve"> Правительства РФ от 27.01.2022 N 60.</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 за исключением:</w:t>
      </w:r>
    </w:p>
    <w:bookmarkStart w:id="29" w:name="P29"/>
    <w:bookmarkEnd w:id="29"/>
    <w:p>
      <w:pPr>
        <w:pStyle w:val="0"/>
        <w:spacing w:before="200" w:line-rule="auto"/>
        <w:ind w:firstLine="540"/>
        <w:jc w:val="both"/>
      </w:pPr>
      <w:hyperlink w:history="0" w:anchor="P305" w:tooltip="62. Контрольный орган включает в план проведения плановых проверок субъекты контроля с учетом их отнесения к категориям риска.">
        <w:r>
          <w:rPr>
            <w:sz w:val="20"/>
            <w:color w:val="0000ff"/>
          </w:rPr>
          <w:t xml:space="preserve">пунктов 62</w:t>
        </w:r>
      </w:hyperlink>
      <w:r>
        <w:rPr>
          <w:sz w:val="20"/>
        </w:rPr>
        <w:t xml:space="preserve"> - </w:t>
      </w:r>
      <w:hyperlink w:history="0" w:anchor="P369" w:tooltip="74. Субъекты контроля, которые по критериям набрали от 60 до 100 баллов включительно, относятся к категории высокого риска.">
        <w:r>
          <w:rPr>
            <w:sz w:val="20"/>
            <w:color w:val="0000ff"/>
          </w:rPr>
          <w:t xml:space="preserve">74</w:t>
        </w:r>
      </w:hyperlink>
      <w:r>
        <w:rPr>
          <w:sz w:val="20"/>
        </w:rP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которые вступают в силу с 1 июля 2022 г.;</w:t>
      </w:r>
    </w:p>
    <w:p>
      <w:pPr>
        <w:pStyle w:val="0"/>
        <w:jc w:val="both"/>
      </w:pPr>
      <w:r>
        <w:rPr>
          <w:sz w:val="20"/>
        </w:rPr>
        <w:t xml:space="preserve">(в ред. </w:t>
      </w:r>
      <w:hyperlink w:history="0" r:id="rId12"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hyperlink w:history="0" w:anchor="P27" w:tooltip="абзац утратил силу. - Постановление Правительства РФ от 27.01.2022 N 60.">
        <w:r>
          <w:rPr>
            <w:sz w:val="20"/>
            <w:color w:val="0000ff"/>
          </w:rPr>
          <w:t xml:space="preserve">абзаца третьего пункта 1</w:t>
        </w:r>
      </w:hyperlink>
      <w:r>
        <w:rPr>
          <w:sz w:val="20"/>
        </w:rPr>
        <w:t xml:space="preserve"> настоящего постановления, который вступает в силу с 1 июля 2021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октября 2020 г. N 1576</w:t>
      </w:r>
    </w:p>
    <w:p>
      <w:pPr>
        <w:pStyle w:val="0"/>
        <w:jc w:val="both"/>
      </w:pPr>
      <w:r>
        <w:rPr>
          <w:sz w:val="20"/>
        </w:rPr>
      </w:r>
    </w:p>
    <w:bookmarkStart w:id="46" w:name="P46"/>
    <w:bookmarkEnd w:id="46"/>
    <w:p>
      <w:pPr>
        <w:pStyle w:val="2"/>
        <w:jc w:val="center"/>
      </w:pPr>
      <w:r>
        <w:rPr>
          <w:sz w:val="20"/>
        </w:rPr>
        <w:t xml:space="preserve">ПРАВИЛА</w:t>
      </w:r>
    </w:p>
    <w:p>
      <w:pPr>
        <w:pStyle w:val="2"/>
        <w:jc w:val="center"/>
      </w:pPr>
      <w:r>
        <w:rPr>
          <w:sz w:val="20"/>
        </w:rPr>
        <w:t xml:space="preserve">ОСУЩЕСТВЛЕНИЯ КОНТРОЛЯ В СФЕРЕ ЗАКУПОК ТОВАРОВ, РАБОТ,</w:t>
      </w:r>
    </w:p>
    <w:p>
      <w:pPr>
        <w:pStyle w:val="2"/>
        <w:jc w:val="center"/>
      </w:pPr>
      <w:r>
        <w:rPr>
          <w:sz w:val="20"/>
        </w:rPr>
        <w:t xml:space="preserve">УСЛУГ В ОТНОШЕНИИ ЗАКАЗЧИКОВ, КОНТРАКТНЫХ СЛУЖБ,</w:t>
      </w:r>
    </w:p>
    <w:p>
      <w:pPr>
        <w:pStyle w:val="2"/>
        <w:jc w:val="center"/>
      </w:pPr>
      <w:r>
        <w:rPr>
          <w:sz w:val="20"/>
        </w:rPr>
        <w:t xml:space="preserve">КОНТРАКТНЫХ УПРАВЛЯЮЩИХ, КОМИССИЙ ПО ОСУЩЕСТВЛЕНИЮ ЗАКУПОК</w:t>
      </w:r>
    </w:p>
    <w:p>
      <w:pPr>
        <w:pStyle w:val="2"/>
        <w:jc w:val="center"/>
      </w:pPr>
      <w:r>
        <w:rPr>
          <w:sz w:val="20"/>
        </w:rPr>
        <w:t xml:space="preserve">ТОВАРОВ, РАБОТ, УСЛУГ И ИХ ЧЛЕНОВ, УПОЛНОМОЧЕННЫХ ОРГАНОВ,</w:t>
      </w:r>
    </w:p>
    <w:p>
      <w:pPr>
        <w:pStyle w:val="2"/>
        <w:jc w:val="center"/>
      </w:pPr>
      <w:r>
        <w:rPr>
          <w:sz w:val="20"/>
        </w:rPr>
        <w:t xml:space="preserve">УПОЛНОМОЧЕННЫХ УЧРЕЖДЕНИЙ, СПЕЦИАЛИЗИРОВАННЫХ ОРГАНИЗАЦИЙ,</w:t>
      </w:r>
    </w:p>
    <w:p>
      <w:pPr>
        <w:pStyle w:val="2"/>
        <w:jc w:val="center"/>
      </w:pPr>
      <w:r>
        <w:rPr>
          <w:sz w:val="20"/>
        </w:rPr>
        <w:t xml:space="preserve">ОПЕРАТОРОВ ЭЛЕКТРОННЫХ ПЛОЩАДОК, ОПЕРАТОРОВ</w:t>
      </w:r>
    </w:p>
    <w:p>
      <w:pPr>
        <w:pStyle w:val="2"/>
        <w:jc w:val="center"/>
      </w:pPr>
      <w:r>
        <w:rPr>
          <w:sz w:val="20"/>
        </w:rPr>
        <w:t xml:space="preserve">СПЕЦИАЛИЗИРОВАННЫХ ЭЛЕКТРОННЫХ ПЛОЩАДОК, БАНКОВ,</w:t>
      </w:r>
    </w:p>
    <w:p>
      <w:pPr>
        <w:pStyle w:val="2"/>
        <w:jc w:val="center"/>
      </w:pPr>
      <w:r>
        <w:rPr>
          <w:sz w:val="20"/>
        </w:rPr>
        <w:t xml:space="preserve">ГОСУДАРСТВЕННОЙ КОРПОРАЦИИ РАЗВИТИЯ "ВЭБ.РФ",</w:t>
      </w:r>
    </w:p>
    <w:p>
      <w:pPr>
        <w:pStyle w:val="2"/>
        <w:jc w:val="center"/>
      </w:pPr>
      <w:r>
        <w:rPr>
          <w:sz w:val="20"/>
        </w:rPr>
        <w:t xml:space="preserve">РЕГИОНАЛЬНЫХ ГАРАНТИЙНЫХ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color w:val="392c69"/>
              </w:rPr>
              <w:t xml:space="preserve"> Правительства РФ от 25.11.2021 N 2044)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w:t>
      </w:r>
    </w:p>
    <w:p>
      <w:pPr>
        <w:pStyle w:val="0"/>
        <w:spacing w:before="200" w:line-rule="auto"/>
        <w:ind w:firstLine="540"/>
        <w:jc w:val="both"/>
      </w:pPr>
      <w:r>
        <w:rPr>
          <w:sz w:val="20"/>
        </w:rP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w:history="0" r:id="rId14" w:tooltip="Федеральный закон от 24.07.2007 N 209-ФЗ (ред. от 12.12.2023)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(далее - региональные гарантийные организации), при осуществлении такими банками, корпорацией, региональными гарантийными организациями действий, предусмотренных Федеральным </w:t>
      </w:r>
      <w:hyperlink w:history="0" r:id="rId1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субъекты контроля), проводимых органами контроля, указанными в </w:t>
      </w:r>
      <w:hyperlink w:history="0" r:id="rId1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пункте 1 части 1 статьи 99</w:t>
        </w:r>
      </w:hyperlink>
      <w:r>
        <w:rPr>
          <w:sz w:val="20"/>
        </w:rPr>
        <w:t xml:space="preserve"> Федерального закона о контрактной системе (далее - контрольные органы),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pPr>
        <w:pStyle w:val="0"/>
        <w:jc w:val="both"/>
      </w:pPr>
      <w:r>
        <w:rPr>
          <w:sz w:val="20"/>
        </w:rPr>
        <w:t xml:space="preserve">(в ред. </w:t>
      </w:r>
      <w:hyperlink w:history="0" r:id="rId1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б) критерии отнесения субъекта контроля к определенной категории риска;</w:t>
      </w:r>
    </w:p>
    <w:p>
      <w:pPr>
        <w:pStyle w:val="0"/>
        <w:spacing w:before="200" w:line-rule="auto"/>
        <w:ind w:firstLine="540"/>
        <w:jc w:val="both"/>
      </w:pPr>
      <w:r>
        <w:rPr>
          <w:sz w:val="20"/>
        </w:rPr>
        <w:t xml:space="preserve">в) порядок и сроки направления и исполнения предписаний контрольных органов;</w:t>
      </w:r>
    </w:p>
    <w:p>
      <w:pPr>
        <w:pStyle w:val="0"/>
        <w:spacing w:before="200" w:line-rule="auto"/>
        <w:ind w:firstLine="540"/>
        <w:jc w:val="both"/>
      </w:pPr>
      <w:r>
        <w:rPr>
          <w:sz w:val="20"/>
        </w:rPr>
        <w:t xml:space="preserve">г) перечень должностных лиц контрольных органов, уполномоченных на проведение проверок, а также их права, обязанности и ответственность;</w:t>
      </w:r>
    </w:p>
    <w:p>
      <w:pPr>
        <w:pStyle w:val="0"/>
        <w:spacing w:before="200" w:line-rule="auto"/>
        <w:ind w:firstLine="540"/>
        <w:jc w:val="both"/>
      </w:pPr>
      <w:r>
        <w:rPr>
          <w:sz w:val="20"/>
        </w:rPr>
        <w:t xml:space="preserve">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pPr>
        <w:pStyle w:val="0"/>
        <w:spacing w:before="200" w:line-rule="auto"/>
        <w:ind w:firstLine="540"/>
        <w:jc w:val="both"/>
      </w:pPr>
      <w:r>
        <w:rPr>
          <w:sz w:val="20"/>
        </w:rP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w:history="0" r:id="rId1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pPr>
        <w:pStyle w:val="0"/>
        <w:spacing w:before="200" w:line-rule="auto"/>
        <w:ind w:firstLine="540"/>
        <w:jc w:val="both"/>
      </w:pPr>
      <w:r>
        <w:rPr>
          <w:sz w:val="20"/>
        </w:rPr>
        <w:t xml:space="preserve">3. Настоящие Правила применяются в отношении плановых (внеплановых) проверок, которые были начаты после вступления в силу настоящих Правил.</w:t>
      </w:r>
    </w:p>
    <w:p>
      <w:pPr>
        <w:pStyle w:val="0"/>
        <w:jc w:val="both"/>
      </w:pPr>
      <w:r>
        <w:rPr>
          <w:sz w:val="20"/>
        </w:rPr>
      </w:r>
    </w:p>
    <w:p>
      <w:pPr>
        <w:pStyle w:val="2"/>
        <w:outlineLvl w:val="1"/>
        <w:jc w:val="center"/>
      </w:pPr>
      <w:r>
        <w:rPr>
          <w:sz w:val="20"/>
        </w:rPr>
        <w:t xml:space="preserve">II. Формы проведения плановых (внеплановых) проверок, сроки</w:t>
      </w:r>
    </w:p>
    <w:p>
      <w:pPr>
        <w:pStyle w:val="2"/>
        <w:jc w:val="center"/>
      </w:pPr>
      <w:r>
        <w:rPr>
          <w:sz w:val="20"/>
        </w:rPr>
        <w:t xml:space="preserve">и периодичность их проведения</w:t>
      </w:r>
    </w:p>
    <w:p>
      <w:pPr>
        <w:pStyle w:val="0"/>
        <w:jc w:val="both"/>
      </w:pPr>
      <w:r>
        <w:rPr>
          <w:sz w:val="20"/>
        </w:rPr>
      </w:r>
    </w:p>
    <w:bookmarkStart w:id="75" w:name="P75"/>
    <w:bookmarkEnd w:id="75"/>
    <w:p>
      <w:pPr>
        <w:pStyle w:val="0"/>
        <w:ind w:firstLine="540"/>
        <w:jc w:val="both"/>
      </w:pPr>
      <w:r>
        <w:rPr>
          <w:sz w:val="20"/>
        </w:rPr>
        <w:t xml:space="preserve">4. Контрольные органы осуществляют контроль в сфере закупок путем проведения плановых (внеплановых) проверок.</w:t>
      </w:r>
    </w:p>
    <w:p>
      <w:pPr>
        <w:pStyle w:val="0"/>
        <w:spacing w:before="200" w:line-rule="auto"/>
        <w:ind w:firstLine="540"/>
        <w:jc w:val="both"/>
      </w:pPr>
      <w:r>
        <w:rPr>
          <w:sz w:val="20"/>
        </w:rPr>
        <w:t xml:space="preserve">Внеплановая проверка проводится в форме документарной проверки и (или) выездной проверки в порядке, установленном настоящими Правилами.</w:t>
      </w:r>
    </w:p>
    <w:p>
      <w:pPr>
        <w:pStyle w:val="0"/>
        <w:spacing w:before="200" w:line-rule="auto"/>
        <w:ind w:firstLine="540"/>
        <w:jc w:val="both"/>
      </w:pPr>
      <w:r>
        <w:rPr>
          <w:sz w:val="20"/>
        </w:rPr>
        <w:t xml:space="preserve">Плановая проверка проводится в форме документарной проверки и (или) выездной проверки в порядке, установленном настоящими Правилами.</w:t>
      </w:r>
    </w:p>
    <w:p>
      <w:pPr>
        <w:pStyle w:val="0"/>
        <w:spacing w:before="200" w:line-rule="auto"/>
        <w:ind w:firstLine="540"/>
        <w:jc w:val="both"/>
      </w:pPr>
      <w:r>
        <w:rPr>
          <w:sz w:val="20"/>
        </w:rPr>
        <w:t xml:space="preserve">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pPr>
        <w:pStyle w:val="0"/>
        <w:spacing w:before="200" w:line-rule="auto"/>
        <w:ind w:firstLine="540"/>
        <w:jc w:val="both"/>
      </w:pPr>
      <w:r>
        <w:rPr>
          <w:sz w:val="20"/>
        </w:rPr>
        <w:t xml:space="preserve">По результатам проведения плановой проверки принимается акт о результатах проведения плановой проверки.</w:t>
      </w:r>
    </w:p>
    <w:p>
      <w:pPr>
        <w:pStyle w:val="0"/>
        <w:spacing w:before="200" w:line-rule="auto"/>
        <w:ind w:firstLine="540"/>
        <w:jc w:val="both"/>
      </w:pPr>
      <w:r>
        <w:rPr>
          <w:sz w:val="20"/>
        </w:rPr>
        <w:t xml:space="preserve">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pPr>
        <w:pStyle w:val="0"/>
        <w:spacing w:before="200" w:line-rule="auto"/>
        <w:ind w:firstLine="540"/>
        <w:jc w:val="both"/>
      </w:pPr>
      <w:r>
        <w:rPr>
          <w:sz w:val="20"/>
        </w:rP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history="0" w:anchor="P393"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pPr>
        <w:pStyle w:val="0"/>
        <w:spacing w:before="200" w:line-rule="auto"/>
        <w:ind w:firstLine="540"/>
        <w:jc w:val="both"/>
      </w:pPr>
      <w:r>
        <w:rPr>
          <w:sz w:val="20"/>
        </w:rPr>
        <w:t xml:space="preserve">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pPr>
        <w:pStyle w:val="0"/>
        <w:spacing w:before="200" w:line-rule="auto"/>
        <w:ind w:firstLine="540"/>
        <w:jc w:val="both"/>
      </w:pPr>
      <w:r>
        <w:rPr>
          <w:sz w:val="20"/>
        </w:rPr>
        <w:t xml:space="preserve">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pPr>
        <w:pStyle w:val="0"/>
        <w:spacing w:before="200" w:line-rule="auto"/>
        <w:ind w:firstLine="540"/>
        <w:jc w:val="both"/>
      </w:pPr>
      <w:r>
        <w:rPr>
          <w:sz w:val="20"/>
        </w:rPr>
        <w:t xml:space="preserve">Проведение плановых и внеплановых проверок может быть возложено на одну комиссию (инспекцию) по проведению плановых (внеплановых) проверок.</w:t>
      </w:r>
    </w:p>
    <w:p>
      <w:pPr>
        <w:pStyle w:val="0"/>
        <w:spacing w:before="200" w:line-rule="auto"/>
        <w:ind w:firstLine="540"/>
        <w:jc w:val="both"/>
      </w:pPr>
      <w:r>
        <w:rPr>
          <w:sz w:val="20"/>
        </w:rP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history="0" w:anchor="P128" w:tooltip="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законом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
        <w:r>
          <w:rPr>
            <w:sz w:val="20"/>
            <w:color w:val="0000ff"/>
          </w:rPr>
          <w:t xml:space="preserve">пунктом 14</w:t>
        </w:r>
      </w:hyperlink>
      <w:r>
        <w:rPr>
          <w:sz w:val="20"/>
        </w:rP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bookmarkStart w:id="87" w:name="P87"/>
    <w:bookmarkEnd w:id="87"/>
    <w:p>
      <w:pPr>
        <w:pStyle w:val="0"/>
        <w:spacing w:before="200" w:line-rule="auto"/>
        <w:ind w:firstLine="540"/>
        <w:jc w:val="both"/>
      </w:pPr>
      <w:r>
        <w:rPr>
          <w:sz w:val="20"/>
        </w:rP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history="0" w:anchor="P166"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
        <w:r>
          <w:rPr>
            <w:sz w:val="20"/>
            <w:color w:val="0000ff"/>
          </w:rPr>
          <w:t xml:space="preserve">пунктом 27</w:t>
        </w:r>
      </w:hyperlink>
      <w:r>
        <w:rPr>
          <w:sz w:val="20"/>
        </w:rPr>
        <w:t xml:space="preserve"> настоящих Правил.</w:t>
      </w:r>
    </w:p>
    <w:p>
      <w:pPr>
        <w:pStyle w:val="0"/>
        <w:spacing w:before="200" w:line-rule="auto"/>
        <w:ind w:firstLine="540"/>
        <w:jc w:val="both"/>
      </w:pPr>
      <w:r>
        <w:rPr>
          <w:sz w:val="20"/>
        </w:rPr>
        <w:t xml:space="preserve">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pPr>
        <w:pStyle w:val="0"/>
        <w:spacing w:before="200" w:line-rule="auto"/>
        <w:ind w:firstLine="540"/>
        <w:jc w:val="both"/>
      </w:pPr>
      <w:r>
        <w:rPr>
          <w:sz w:val="20"/>
        </w:rPr>
        <w:t xml:space="preserve">Контрольный орган в течение 2 рабочих дней со дня принятия решения о продлении срока проведения внеплановой проверки размещает в </w:t>
      </w:r>
      <w:hyperlink w:history="0" r:id="rId1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2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pPr>
        <w:pStyle w:val="0"/>
        <w:spacing w:before="200" w:line-rule="auto"/>
        <w:ind w:firstLine="540"/>
        <w:jc w:val="both"/>
      </w:pPr>
      <w:r>
        <w:rPr>
          <w:sz w:val="20"/>
        </w:rP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history="0" w:anchor="P153" w:tooltip="а) получение информации о признаках нарушения законодательства о контрактной системе, в том числе:">
        <w:r>
          <w:rPr>
            <w:sz w:val="20"/>
            <w:color w:val="0000ff"/>
          </w:rPr>
          <w:t xml:space="preserve">подпунктом "а" пункта 19</w:t>
        </w:r>
      </w:hyperlink>
      <w:r>
        <w:rPr>
          <w:sz w:val="20"/>
        </w:rP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пунктом 8</w:t>
        </w:r>
      </w:hyperlink>
      <w:r>
        <w:rPr>
          <w:sz w:val="20"/>
        </w:rPr>
        <w:t xml:space="preserve"> настоящих Правил, после 1 июля 2021 г. направление указанного уведомления не требуется.</w:t>
      </w:r>
    </w:p>
    <w:p>
      <w:pPr>
        <w:pStyle w:val="0"/>
        <w:spacing w:before="200" w:line-rule="auto"/>
        <w:ind w:firstLine="540"/>
        <w:jc w:val="both"/>
      </w:pPr>
      <w:r>
        <w:rPr>
          <w:sz w:val="20"/>
        </w:rPr>
        <w:t xml:space="preserve">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pPr>
        <w:pStyle w:val="0"/>
        <w:spacing w:before="200" w:line-rule="auto"/>
        <w:ind w:firstLine="540"/>
        <w:jc w:val="both"/>
      </w:pPr>
      <w:r>
        <w:rPr>
          <w:sz w:val="20"/>
        </w:rPr>
        <w:t xml:space="preserve">6. Срок проведения плановой проверки составляет не более 20 рабочих дней со дня начала ее проведения.</w:t>
      </w:r>
    </w:p>
    <w:p>
      <w:pPr>
        <w:pStyle w:val="0"/>
        <w:spacing w:before="200" w:line-rule="auto"/>
        <w:ind w:firstLine="540"/>
        <w:jc w:val="both"/>
      </w:pPr>
      <w:r>
        <w:rPr>
          <w:sz w:val="20"/>
        </w:rPr>
        <w:t xml:space="preserve">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pPr>
        <w:pStyle w:val="0"/>
        <w:spacing w:before="200" w:line-rule="auto"/>
        <w:ind w:firstLine="540"/>
        <w:jc w:val="both"/>
      </w:pPr>
      <w:r>
        <w:rPr>
          <w:sz w:val="20"/>
        </w:rPr>
        <w:t xml:space="preserve">Контрольный орган в течение 2 рабочих дней со дня принятия решения о продлении срока проведения плановой проверки размещает в </w:t>
      </w:r>
      <w:hyperlink w:history="0" r:id="rId21"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2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pPr>
        <w:pStyle w:val="0"/>
        <w:spacing w:before="200" w:line-rule="auto"/>
        <w:ind w:firstLine="540"/>
        <w:jc w:val="both"/>
      </w:pPr>
      <w:r>
        <w:rPr>
          <w:sz w:val="20"/>
        </w:rP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пунктом 8</w:t>
        </w:r>
      </w:hyperlink>
      <w:r>
        <w:rPr>
          <w:sz w:val="20"/>
        </w:rPr>
        <w:t xml:space="preserve"> настоящих Правил, после 1 июля 2021 г. направление указанного уведомления не требуется.</w:t>
      </w:r>
    </w:p>
    <w:p>
      <w:pPr>
        <w:pStyle w:val="0"/>
        <w:spacing w:before="200" w:line-rule="auto"/>
        <w:ind w:firstLine="540"/>
        <w:jc w:val="both"/>
      </w:pPr>
      <w:r>
        <w:rPr>
          <w:sz w:val="20"/>
        </w:rPr>
        <w:t xml:space="preserve">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pPr>
        <w:pStyle w:val="0"/>
        <w:spacing w:before="200" w:line-rule="auto"/>
        <w:ind w:firstLine="540"/>
        <w:jc w:val="both"/>
      </w:pPr>
      <w:r>
        <w:rPr>
          <w:sz w:val="20"/>
        </w:rP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history="0" w:anchor="P144" w:tooltip="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w:r>
          <w:rPr>
            <w:sz w:val="20"/>
            <w:color w:val="0000ff"/>
          </w:rPr>
          <w:t xml:space="preserve">подпункта "г" пункта 17</w:t>
        </w:r>
      </w:hyperlink>
      <w:r>
        <w:rPr>
          <w:sz w:val="20"/>
        </w:rP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pPr>
        <w:pStyle w:val="0"/>
        <w:spacing w:before="200" w:line-rule="auto"/>
        <w:ind w:firstLine="540"/>
        <w:jc w:val="both"/>
      </w:pPr>
      <w:r>
        <w:rPr>
          <w:sz w:val="20"/>
        </w:rPr>
        <w:t xml:space="preserve">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pPr>
        <w:pStyle w:val="0"/>
        <w:spacing w:before="200" w:line-rule="auto"/>
        <w:ind w:firstLine="540"/>
        <w:jc w:val="both"/>
      </w:pPr>
      <w:r>
        <w:rPr>
          <w:sz w:val="20"/>
        </w:rPr>
        <w:t xml:space="preserve">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pPr>
        <w:pStyle w:val="0"/>
        <w:spacing w:before="200" w:line-rule="auto"/>
        <w:ind w:firstLine="540"/>
        <w:jc w:val="both"/>
      </w:pPr>
      <w:r>
        <w:rPr>
          <w:sz w:val="20"/>
        </w:rPr>
        <w:t xml:space="preserve">В случае если при проведении плановой (внеплановой) проверки субъектами контроля не выполняются требования </w:t>
      </w:r>
      <w:hyperlink w:history="0" w:anchor="P140" w:tooltip="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законом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законом о контрактной системе, аудио-, видеозаписи и иную информацию и документы (в том числе о закупках, осуществленных закры...">
        <w:r>
          <w:rPr>
            <w:sz w:val="20"/>
            <w:color w:val="0000ff"/>
          </w:rPr>
          <w:t xml:space="preserve">подпунктов "а"</w:t>
        </w:r>
      </w:hyperlink>
      <w:r>
        <w:rPr>
          <w:sz w:val="20"/>
        </w:rPr>
        <w:t xml:space="preserve"> и </w:t>
      </w:r>
      <w:hyperlink w:history="0" w:anchor="P142" w:tooltip="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
        <w:r>
          <w:rPr>
            <w:sz w:val="20"/>
            <w:color w:val="0000ff"/>
          </w:rPr>
          <w:t xml:space="preserve">"б" пункта 17</w:t>
        </w:r>
      </w:hyperlink>
      <w:r>
        <w:rPr>
          <w:sz w:val="20"/>
        </w:rP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pPr>
        <w:pStyle w:val="0"/>
        <w:spacing w:before="200" w:line-rule="auto"/>
        <w:ind w:firstLine="540"/>
        <w:jc w:val="both"/>
      </w:pPr>
      <w:r>
        <w:rPr>
          <w:sz w:val="20"/>
        </w:rPr>
        <w:t xml:space="preserve">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pPr>
        <w:pStyle w:val="0"/>
        <w:spacing w:before="200" w:line-rule="auto"/>
        <w:ind w:firstLine="540"/>
        <w:jc w:val="both"/>
      </w:pPr>
      <w:r>
        <w:rPr>
          <w:sz w:val="20"/>
        </w:rPr>
        <w:t xml:space="preserve">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pPr>
        <w:pStyle w:val="0"/>
        <w:spacing w:before="200" w:line-rule="auto"/>
        <w:ind w:firstLine="540"/>
        <w:jc w:val="both"/>
      </w:pPr>
      <w:r>
        <w:rPr>
          <w:sz w:val="20"/>
        </w:rPr>
        <w:t xml:space="preserve">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pPr>
        <w:pStyle w:val="0"/>
        <w:spacing w:before="200" w:line-rule="auto"/>
        <w:ind w:firstLine="540"/>
        <w:jc w:val="both"/>
      </w:pPr>
      <w:r>
        <w:rPr>
          <w:sz w:val="20"/>
        </w:rPr>
        <w:t xml:space="preserve">7. Плановая проверка проводится контрольным органом с учетом соблюдения условий, установленных </w:t>
      </w:r>
      <w:hyperlink w:history="0" r:id="rId2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частями 13</w:t>
        </w:r>
      </w:hyperlink>
      <w:r>
        <w:rPr>
          <w:sz w:val="20"/>
        </w:rPr>
        <w:t xml:space="preserve"> и </w:t>
      </w:r>
      <w:hyperlink w:history="0" r:id="rId2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14 статьи 99</w:t>
        </w:r>
      </w:hyperlink>
      <w:r>
        <w:rPr>
          <w:sz w:val="20"/>
        </w:rPr>
        <w:t xml:space="preserve"> Федерального закона о контрактной системе.</w:t>
      </w:r>
    </w:p>
    <w:bookmarkStart w:id="105" w:name="P105"/>
    <w:bookmarkEnd w:id="105"/>
    <w:p>
      <w:pPr>
        <w:pStyle w:val="0"/>
        <w:spacing w:before="200" w:line-rule="auto"/>
        <w:ind w:firstLine="540"/>
        <w:jc w:val="both"/>
      </w:pPr>
      <w:r>
        <w:rPr>
          <w:sz w:val="20"/>
        </w:rP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"ВЭБ.РФ", региональной гарантийной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history="0" w:anchor="P152" w:tooltip="19. Основанием для проведения внеплановой проверки является:">
        <w:r>
          <w:rPr>
            <w:sz w:val="20"/>
            <w:color w:val="0000ff"/>
          </w:rPr>
          <w:t xml:space="preserve">пунктом 19</w:t>
        </w:r>
      </w:hyperlink>
      <w:r>
        <w:rPr>
          <w:sz w:val="20"/>
        </w:rPr>
        <w:t xml:space="preserve"> настоящих Правил.</w:t>
      </w:r>
    </w:p>
    <w:p>
      <w:pPr>
        <w:pStyle w:val="0"/>
        <w:jc w:val="both"/>
      </w:pPr>
      <w:r>
        <w:rPr>
          <w:sz w:val="20"/>
        </w:rPr>
        <w:t xml:space="preserve">(в ред. </w:t>
      </w:r>
      <w:hyperlink w:history="0" r:id="rId25"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pPr>
        <w:pStyle w:val="0"/>
        <w:spacing w:before="200" w:line-rule="auto"/>
        <w:ind w:firstLine="540"/>
        <w:jc w:val="both"/>
      </w:pPr>
      <w:r>
        <w:rPr>
          <w:sz w:val="20"/>
        </w:rPr>
        <w:t xml:space="preserve">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pPr>
        <w:pStyle w:val="0"/>
        <w:spacing w:before="200" w:line-rule="auto"/>
        <w:ind w:firstLine="540"/>
        <w:jc w:val="both"/>
      </w:pPr>
      <w:r>
        <w:rPr>
          <w:sz w:val="20"/>
        </w:rPr>
        <w:t xml:space="preserve">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pPr>
        <w:pStyle w:val="0"/>
        <w:spacing w:before="200" w:line-rule="auto"/>
        <w:ind w:firstLine="540"/>
        <w:jc w:val="both"/>
      </w:pPr>
      <w:r>
        <w:rPr>
          <w:sz w:val="20"/>
        </w:rPr>
        <w:t xml:space="preserve">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pPr>
        <w:pStyle w:val="0"/>
        <w:spacing w:before="200" w:line-rule="auto"/>
        <w:ind w:firstLine="540"/>
        <w:jc w:val="both"/>
      </w:pPr>
      <w:r>
        <w:rPr>
          <w:sz w:val="20"/>
        </w:rPr>
        <w:t xml:space="preserve">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pPr>
        <w:pStyle w:val="0"/>
        <w:spacing w:before="200" w:line-rule="auto"/>
        <w:ind w:firstLine="540"/>
        <w:jc w:val="both"/>
      </w:pPr>
      <w:r>
        <w:rPr>
          <w:sz w:val="20"/>
        </w:rPr>
        <w:t xml:space="preserve">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pPr>
        <w:pStyle w:val="0"/>
        <w:jc w:val="both"/>
      </w:pPr>
      <w:r>
        <w:rPr>
          <w:sz w:val="20"/>
        </w:rPr>
      </w:r>
    </w:p>
    <w:p>
      <w:pPr>
        <w:pStyle w:val="2"/>
        <w:outlineLvl w:val="1"/>
        <w:jc w:val="center"/>
      </w:pPr>
      <w:r>
        <w:rPr>
          <w:sz w:val="20"/>
        </w:rPr>
        <w:t xml:space="preserve">III. Права и обязанности должностных лиц контрольного</w:t>
      </w:r>
    </w:p>
    <w:p>
      <w:pPr>
        <w:pStyle w:val="2"/>
        <w:jc w:val="center"/>
      </w:pPr>
      <w:r>
        <w:rPr>
          <w:sz w:val="20"/>
        </w:rPr>
        <w:t xml:space="preserve">органа при проведении плановых (внеплановых) проверок</w:t>
      </w:r>
    </w:p>
    <w:p>
      <w:pPr>
        <w:pStyle w:val="0"/>
        <w:jc w:val="both"/>
      </w:pPr>
      <w:r>
        <w:rPr>
          <w:sz w:val="20"/>
        </w:rPr>
      </w:r>
    </w:p>
    <w:p>
      <w:pPr>
        <w:pStyle w:val="0"/>
        <w:ind w:firstLine="540"/>
        <w:jc w:val="both"/>
      </w:pPr>
      <w:r>
        <w:rPr>
          <w:sz w:val="20"/>
        </w:rPr>
        <w:t xml:space="preserve">12. При проведении плановых (внеплановых) проверок должностные лица контрольного органа, уполномоченные на осуществление контроля, имеют право:</w:t>
      </w:r>
    </w:p>
    <w:p>
      <w:pPr>
        <w:pStyle w:val="0"/>
        <w:spacing w:before="200" w:line-rule="auto"/>
        <w:ind w:firstLine="540"/>
        <w:jc w:val="both"/>
      </w:pPr>
      <w:r>
        <w:rPr>
          <w:sz w:val="20"/>
        </w:rPr>
        <w:t xml:space="preserve">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pPr>
        <w:pStyle w:val="0"/>
        <w:spacing w:before="200" w:line-rule="auto"/>
        <w:ind w:firstLine="540"/>
        <w:jc w:val="both"/>
      </w:pPr>
      <w:r>
        <w:rPr>
          <w:sz w:val="20"/>
        </w:rPr>
        <w:t xml:space="preserve">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pPr>
        <w:pStyle w:val="0"/>
        <w:spacing w:before="200" w:line-rule="auto"/>
        <w:ind w:firstLine="540"/>
        <w:jc w:val="both"/>
      </w:pPr>
      <w:r>
        <w:rPr>
          <w:sz w:val="20"/>
        </w:rPr>
        <w:t xml:space="preserve">в) обращаться в суд, арбитражный суд с исками о признании осуществленных закупок недействительными в соответствии с Гражданским </w:t>
      </w:r>
      <w:hyperlink w:history="0" r:id="rId26"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pPr>
        <w:pStyle w:val="0"/>
        <w:spacing w:before="200" w:line-rule="auto"/>
        <w:ind w:firstLine="540"/>
        <w:jc w:val="both"/>
      </w:pPr>
      <w:r>
        <w:rPr>
          <w:sz w:val="20"/>
        </w:rPr>
        <w:t xml:space="preserve">д) выдавать предписания.</w:t>
      </w:r>
    </w:p>
    <w:p>
      <w:pPr>
        <w:pStyle w:val="0"/>
        <w:spacing w:before="200" w:line-rule="auto"/>
        <w:ind w:firstLine="540"/>
        <w:jc w:val="both"/>
      </w:pPr>
      <w:r>
        <w:rPr>
          <w:sz w:val="20"/>
        </w:rPr>
        <w:t xml:space="preserve">13. Должностные лица контрольного органа, уполномоченные на осуществление контроля, имеют следующие обязанности:</w:t>
      </w:r>
    </w:p>
    <w:p>
      <w:pPr>
        <w:pStyle w:val="0"/>
        <w:spacing w:before="200" w:line-rule="auto"/>
        <w:ind w:firstLine="540"/>
        <w:jc w:val="both"/>
      </w:pPr>
      <w:r>
        <w:rPr>
          <w:sz w:val="20"/>
        </w:rPr>
        <w:t xml:space="preserve">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pPr>
        <w:pStyle w:val="0"/>
        <w:spacing w:before="200" w:line-rule="auto"/>
        <w:ind w:firstLine="540"/>
        <w:jc w:val="both"/>
      </w:pPr>
      <w:r>
        <w:rPr>
          <w:sz w:val="20"/>
        </w:rPr>
        <w:t xml:space="preserve">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pPr>
        <w:pStyle w:val="0"/>
        <w:spacing w:before="200" w:line-rule="auto"/>
        <w:ind w:firstLine="540"/>
        <w:jc w:val="both"/>
      </w:pPr>
      <w:r>
        <w:rPr>
          <w:sz w:val="20"/>
        </w:rPr>
        <w:t xml:space="preserve">в) использовать информацию, содержащуюся в информационной системе, указанной в </w:t>
      </w:r>
      <w:hyperlink w:history="0" r:id="rId2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части 13 статьи 4</w:t>
        </w:r>
      </w:hyperlink>
      <w:r>
        <w:rPr>
          <w:sz w:val="20"/>
        </w:rPr>
        <w:t xml:space="preserve"> Федерального закона о контрактной системе, при проведении плановых (внеплановых) проверок (при наличии доступа к указанной информации).</w:t>
      </w:r>
    </w:p>
    <w:p>
      <w:pPr>
        <w:pStyle w:val="0"/>
        <w:jc w:val="both"/>
      </w:pPr>
      <w:r>
        <w:rPr>
          <w:sz w:val="20"/>
        </w:rPr>
        <w:t xml:space="preserve">(пп. "в" введен </w:t>
      </w:r>
      <w:hyperlink w:history="0" r:id="rId28"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Постановлением</w:t>
        </w:r>
      </w:hyperlink>
      <w:r>
        <w:rPr>
          <w:sz w:val="20"/>
        </w:rPr>
        <w:t xml:space="preserve"> Правительства РФ от 25.11.2021 N 2044)</w:t>
      </w:r>
    </w:p>
    <w:bookmarkStart w:id="128" w:name="P128"/>
    <w:bookmarkEnd w:id="128"/>
    <w:p>
      <w:pPr>
        <w:pStyle w:val="0"/>
        <w:spacing w:before="200" w:line-rule="auto"/>
        <w:ind w:firstLine="540"/>
        <w:jc w:val="both"/>
      </w:pPr>
      <w:r>
        <w:rPr>
          <w:sz w:val="20"/>
        </w:rP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w:t>
      </w:r>
      <w:hyperlink w:history="0" r:id="rId2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pPr>
        <w:pStyle w:val="0"/>
        <w:jc w:val="both"/>
      </w:pPr>
      <w:r>
        <w:rPr>
          <w:sz w:val="20"/>
        </w:rPr>
        <w:t xml:space="preserve">(в ред. </w:t>
      </w:r>
      <w:hyperlink w:history="0" r:id="rId30"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pPr>
        <w:pStyle w:val="0"/>
        <w:jc w:val="both"/>
      </w:pPr>
      <w:r>
        <w:rPr>
          <w:sz w:val="20"/>
        </w:rPr>
      </w:r>
    </w:p>
    <w:p>
      <w:pPr>
        <w:pStyle w:val="2"/>
        <w:outlineLvl w:val="1"/>
        <w:jc w:val="center"/>
      </w:pPr>
      <w:r>
        <w:rPr>
          <w:sz w:val="20"/>
        </w:rPr>
        <w:t xml:space="preserve">IV. Права и обязанности лиц, в отношении которых проводятся</w:t>
      </w:r>
    </w:p>
    <w:p>
      <w:pPr>
        <w:pStyle w:val="2"/>
        <w:jc w:val="center"/>
      </w:pPr>
      <w:r>
        <w:rPr>
          <w:sz w:val="20"/>
        </w:rPr>
        <w:t xml:space="preserve">плановые (внеплановые) проверки</w:t>
      </w:r>
    </w:p>
    <w:p>
      <w:pPr>
        <w:pStyle w:val="0"/>
        <w:jc w:val="both"/>
      </w:pPr>
      <w:r>
        <w:rPr>
          <w:sz w:val="20"/>
        </w:rPr>
      </w:r>
    </w:p>
    <w:p>
      <w:pPr>
        <w:pStyle w:val="0"/>
        <w:ind w:firstLine="540"/>
        <w:jc w:val="both"/>
      </w:pPr>
      <w:r>
        <w:rPr>
          <w:sz w:val="20"/>
        </w:rPr>
        <w:t xml:space="preserve">16. Лица, в отношении которых проводятся плановые (внеплановые) проверки, имеют право:</w:t>
      </w:r>
    </w:p>
    <w:p>
      <w:pPr>
        <w:pStyle w:val="0"/>
        <w:spacing w:before="200" w:line-rule="auto"/>
        <w:ind w:firstLine="540"/>
        <w:jc w:val="both"/>
      </w:pPr>
      <w:r>
        <w:rPr>
          <w:sz w:val="20"/>
        </w:rPr>
        <w:t xml:space="preserve">а) получать полную, актуальную и достоверную информацию о порядке проведения плановой (внеплановой) проверки;</w:t>
      </w:r>
    </w:p>
    <w:p>
      <w:pPr>
        <w:pStyle w:val="0"/>
        <w:spacing w:before="200" w:line-rule="auto"/>
        <w:ind w:firstLine="540"/>
        <w:jc w:val="both"/>
      </w:pPr>
      <w:r>
        <w:rPr>
          <w:sz w:val="20"/>
        </w:rPr>
        <w:t xml:space="preserve">б) обращаться в суд, арбитражный суд с исками, в том числе с исками о восстановлении нарушенных прав;</w:t>
      </w:r>
    </w:p>
    <w:p>
      <w:pPr>
        <w:pStyle w:val="0"/>
        <w:spacing w:before="200" w:line-rule="auto"/>
        <w:ind w:firstLine="540"/>
        <w:jc w:val="both"/>
      </w:pPr>
      <w:r>
        <w:rPr>
          <w:sz w:val="20"/>
        </w:rPr>
        <w:t xml:space="preserve">в) направлять в контрольный орган письменные возражения по выявленным контрольным органом нарушениям законодательства о контрактной системе.</w:t>
      </w:r>
    </w:p>
    <w:p>
      <w:pPr>
        <w:pStyle w:val="0"/>
        <w:spacing w:before="200" w:line-rule="auto"/>
        <w:ind w:firstLine="540"/>
        <w:jc w:val="both"/>
      </w:pPr>
      <w:r>
        <w:rPr>
          <w:sz w:val="20"/>
        </w:rPr>
        <w:t xml:space="preserve">17. Лица, в отношении которых проводится плановая (внеплановая) проверка, имеют следующие обязанности:</w:t>
      </w:r>
    </w:p>
    <w:bookmarkStart w:id="140" w:name="P140"/>
    <w:bookmarkEnd w:id="140"/>
    <w:p>
      <w:pPr>
        <w:pStyle w:val="0"/>
        <w:spacing w:before="200" w:line-rule="auto"/>
        <w:ind w:firstLine="540"/>
        <w:jc w:val="both"/>
      </w:pPr>
      <w:r>
        <w:rPr>
          <w:sz w:val="20"/>
        </w:rPr>
        <w:t xml:space="preserve">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w:t>
      </w:r>
      <w:hyperlink w:history="0" r:id="rId3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w:t>
      </w:r>
      <w:hyperlink w:history="0" r:id="rId32"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w:t>
      </w:r>
      <w:hyperlink w:history="0" r:id="rId33"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bookmarkStart w:id="142" w:name="P142"/>
    <w:bookmarkEnd w:id="142"/>
    <w:p>
      <w:pPr>
        <w:pStyle w:val="0"/>
        <w:spacing w:before="200" w:line-rule="auto"/>
        <w:ind w:firstLine="540"/>
        <w:jc w:val="both"/>
      </w:pPr>
      <w:r>
        <w:rPr>
          <w:sz w:val="20"/>
        </w:rPr>
        <w:t xml:space="preserve">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pPr>
        <w:pStyle w:val="0"/>
        <w:spacing w:before="200" w:line-rule="auto"/>
        <w:ind w:firstLine="540"/>
        <w:jc w:val="both"/>
      </w:pPr>
      <w:r>
        <w:rPr>
          <w:sz w:val="20"/>
        </w:rPr>
        <w:t xml:space="preserve">в) исполнять в установленные сроки предписания;</w:t>
      </w:r>
    </w:p>
    <w:bookmarkStart w:id="144" w:name="P144"/>
    <w:bookmarkEnd w:id="144"/>
    <w:p>
      <w:pPr>
        <w:pStyle w:val="0"/>
        <w:spacing w:before="200" w:line-rule="auto"/>
        <w:ind w:firstLine="540"/>
        <w:jc w:val="both"/>
      </w:pPr>
      <w:r>
        <w:rPr>
          <w:sz w:val="20"/>
        </w:rPr>
        <w:t xml:space="preserve">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pPr>
        <w:pStyle w:val="0"/>
        <w:spacing w:before="200" w:line-rule="auto"/>
        <w:ind w:firstLine="540"/>
        <w:jc w:val="both"/>
      </w:pPr>
      <w:r>
        <w:rPr>
          <w:sz w:val="20"/>
        </w:rPr>
        <w:t xml:space="preserve">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pPr>
        <w:pStyle w:val="0"/>
        <w:spacing w:before="200" w:line-rule="auto"/>
        <w:ind w:firstLine="540"/>
        <w:jc w:val="both"/>
      </w:pPr>
      <w:r>
        <w:rPr>
          <w:sz w:val="20"/>
        </w:rPr>
        <w:t xml:space="preserve">18. Представление в контрольный орган информации и документов, указанных в </w:t>
      </w:r>
      <w:hyperlink w:history="0" w:anchor="P140" w:tooltip="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законом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законом о контрактной системе, аудио-, видеозаписи и иную информацию и документы (в том числе о закупках, осуществленных закры...">
        <w:r>
          <w:rPr>
            <w:sz w:val="20"/>
            <w:color w:val="0000ff"/>
          </w:rPr>
          <w:t xml:space="preserve">подпункте "а" пункта 17</w:t>
        </w:r>
      </w:hyperlink>
      <w:r>
        <w:rPr>
          <w:sz w:val="20"/>
        </w:rPr>
        <w:t xml:space="preserve"> настоящих Правил, не требуется в случае их размещения в соответствии с Федеральным </w:t>
      </w:r>
      <w:hyperlink w:history="0" r:id="rId3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в единой информационной системе.</w:t>
      </w:r>
    </w:p>
    <w:p>
      <w:pPr>
        <w:pStyle w:val="0"/>
        <w:jc w:val="both"/>
      </w:pPr>
      <w:r>
        <w:rPr>
          <w:sz w:val="20"/>
        </w:rPr>
        <w:t xml:space="preserve">(в ред. </w:t>
      </w:r>
      <w:hyperlink w:history="0" r:id="rId35"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jc w:val="both"/>
      </w:pPr>
      <w:r>
        <w:rPr>
          <w:sz w:val="20"/>
        </w:rPr>
      </w:r>
    </w:p>
    <w:p>
      <w:pPr>
        <w:pStyle w:val="2"/>
        <w:outlineLvl w:val="1"/>
        <w:jc w:val="center"/>
      </w:pPr>
      <w:r>
        <w:rPr>
          <w:sz w:val="20"/>
        </w:rPr>
        <w:t xml:space="preserve">V. Основания для проведения внеплановой проверки, порядок</w:t>
      </w:r>
    </w:p>
    <w:p>
      <w:pPr>
        <w:pStyle w:val="2"/>
        <w:jc w:val="center"/>
      </w:pPr>
      <w:r>
        <w:rPr>
          <w:sz w:val="20"/>
        </w:rPr>
        <w:t xml:space="preserve">организации такой проверки и оформление ее результатов</w:t>
      </w:r>
    </w:p>
    <w:p>
      <w:pPr>
        <w:pStyle w:val="0"/>
        <w:jc w:val="both"/>
      </w:pPr>
      <w:r>
        <w:rPr>
          <w:sz w:val="20"/>
        </w:rPr>
      </w:r>
    </w:p>
    <w:bookmarkStart w:id="152" w:name="P152"/>
    <w:bookmarkEnd w:id="152"/>
    <w:p>
      <w:pPr>
        <w:pStyle w:val="0"/>
        <w:ind w:firstLine="540"/>
        <w:jc w:val="both"/>
      </w:pPr>
      <w:r>
        <w:rPr>
          <w:sz w:val="20"/>
        </w:rPr>
        <w:t xml:space="preserve">19. Основанием для проведения внеплановой проверки является:</w:t>
      </w:r>
    </w:p>
    <w:bookmarkStart w:id="153" w:name="P153"/>
    <w:bookmarkEnd w:id="153"/>
    <w:p>
      <w:pPr>
        <w:pStyle w:val="0"/>
        <w:spacing w:before="200" w:line-rule="auto"/>
        <w:ind w:firstLine="540"/>
        <w:jc w:val="both"/>
      </w:pPr>
      <w:r>
        <w:rPr>
          <w:sz w:val="20"/>
        </w:rPr>
        <w:t xml:space="preserve">а) получение информации о признаках нарушения законодательства о контрактной системе, в том числе:</w:t>
      </w:r>
    </w:p>
    <w:p>
      <w:pPr>
        <w:pStyle w:val="0"/>
        <w:spacing w:before="200" w:line-rule="auto"/>
        <w:ind w:firstLine="540"/>
        <w:jc w:val="both"/>
      </w:pPr>
      <w:r>
        <w:rPr>
          <w:sz w:val="20"/>
        </w:rPr>
        <w:t xml:space="preserve">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pPr>
        <w:pStyle w:val="0"/>
        <w:spacing w:before="200" w:line-rule="auto"/>
        <w:ind w:firstLine="540"/>
        <w:jc w:val="both"/>
      </w:pPr>
      <w:r>
        <w:rPr>
          <w:sz w:val="20"/>
        </w:rP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w:history="0" r:id="rId3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15 статьи 105</w:t>
        </w:r>
      </w:hyperlink>
      <w:r>
        <w:rPr>
          <w:sz w:val="20"/>
        </w:rPr>
        <w:t xml:space="preserve"> Федерального закона о контрактной системе отозвана таким участником закупок либо в соответствии с </w:t>
      </w:r>
      <w:hyperlink w:history="0" r:id="rId37"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11</w:t>
        </w:r>
      </w:hyperlink>
      <w:r>
        <w:rPr>
          <w:sz w:val="20"/>
        </w:rP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pPr>
        <w:pStyle w:val="0"/>
        <w:spacing w:before="200" w:line-rule="auto"/>
        <w:ind w:firstLine="540"/>
        <w:jc w:val="both"/>
      </w:pPr>
      <w:r>
        <w:rPr>
          <w:sz w:val="20"/>
        </w:rPr>
        <w:t xml:space="preserve">б) истечение срока исполнения ранее выданного в соответствии с </w:t>
      </w:r>
      <w:hyperlink w:history="0" r:id="rId3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2 части 22 статьи 99</w:t>
        </w:r>
      </w:hyperlink>
      <w:r>
        <w:rPr>
          <w:sz w:val="20"/>
        </w:rPr>
        <w:t xml:space="preserve"> Федерального закона о контрактной системе предписания.</w:t>
      </w:r>
    </w:p>
    <w:p>
      <w:pPr>
        <w:pStyle w:val="0"/>
        <w:spacing w:before="200" w:line-rule="auto"/>
        <w:ind w:firstLine="540"/>
        <w:jc w:val="both"/>
      </w:pPr>
      <w:r>
        <w:rPr>
          <w:sz w:val="20"/>
        </w:rPr>
        <w:t xml:space="preserve">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pPr>
        <w:pStyle w:val="0"/>
        <w:spacing w:before="200" w:line-rule="auto"/>
        <w:ind w:firstLine="540"/>
        <w:jc w:val="both"/>
      </w:pPr>
      <w:r>
        <w:rPr>
          <w:sz w:val="20"/>
        </w:rPr>
        <w:t xml:space="preserve">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pPr>
        <w:pStyle w:val="0"/>
        <w:spacing w:before="200" w:line-rule="auto"/>
        <w:ind w:firstLine="540"/>
        <w:jc w:val="both"/>
      </w:pPr>
      <w:r>
        <w:rPr>
          <w:sz w:val="20"/>
        </w:rPr>
        <w:t xml:space="preserve">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pPr>
        <w:pStyle w:val="0"/>
        <w:spacing w:before="200" w:line-rule="auto"/>
        <w:ind w:firstLine="540"/>
        <w:jc w:val="both"/>
      </w:pPr>
      <w:r>
        <w:rPr>
          <w:sz w:val="20"/>
        </w:rPr>
        <w:t xml:space="preserve">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pPr>
        <w:pStyle w:val="0"/>
        <w:spacing w:before="200" w:line-rule="auto"/>
        <w:ind w:firstLine="540"/>
        <w:jc w:val="both"/>
      </w:pPr>
      <w:r>
        <w:rPr>
          <w:sz w:val="20"/>
        </w:rP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Контрольный орган в течение одного рабочего дня со дня передачи информации по подведомственности размещает в </w:t>
      </w:r>
      <w:hyperlink w:history="0" r:id="rId39"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40"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информацию об этом в реестре проверок и (или) единой информационной системе.</w:t>
      </w:r>
    </w:p>
    <w:p>
      <w:pPr>
        <w:pStyle w:val="0"/>
        <w:spacing w:before="200" w:line-rule="auto"/>
        <w:ind w:firstLine="540"/>
        <w:jc w:val="both"/>
      </w:pPr>
      <w:r>
        <w:rPr>
          <w:sz w:val="20"/>
        </w:rPr>
        <w:t xml:space="preserve">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pPr>
        <w:pStyle w:val="0"/>
        <w:spacing w:before="200" w:line-rule="auto"/>
        <w:ind w:firstLine="540"/>
        <w:jc w:val="both"/>
      </w:pPr>
      <w:r>
        <w:rPr>
          <w:sz w:val="20"/>
        </w:rPr>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w:history="0" r:id="rId4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 порядке рассмотрения обращений граждан Российской Федерации".</w:t>
      </w:r>
    </w:p>
    <w:bookmarkStart w:id="166" w:name="P166"/>
    <w:bookmarkEnd w:id="166"/>
    <w:p>
      <w:pPr>
        <w:pStyle w:val="0"/>
        <w:spacing w:before="200" w:line-rule="auto"/>
        <w:ind w:firstLine="540"/>
        <w:jc w:val="both"/>
      </w:pPr>
      <w:r>
        <w:rPr>
          <w:sz w:val="20"/>
        </w:rP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w:history="0" r:id="rId4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4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информацию об этом в реестре проверок и (или) единой информационной системе.</w:t>
      </w:r>
    </w:p>
    <w:p>
      <w:pPr>
        <w:pStyle w:val="0"/>
        <w:spacing w:before="200" w:line-rule="auto"/>
        <w:ind w:firstLine="540"/>
        <w:jc w:val="both"/>
      </w:pPr>
      <w:r>
        <w:rPr>
          <w:sz w:val="20"/>
        </w:rP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pPr>
        <w:pStyle w:val="0"/>
        <w:spacing w:before="200" w:line-rule="auto"/>
        <w:ind w:firstLine="540"/>
        <w:jc w:val="both"/>
      </w:pPr>
      <w:r>
        <w:rPr>
          <w:sz w:val="20"/>
        </w:rPr>
        <w:t xml:space="preserve">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pPr>
        <w:pStyle w:val="0"/>
        <w:spacing w:before="200" w:line-rule="auto"/>
        <w:ind w:firstLine="540"/>
        <w:jc w:val="both"/>
      </w:pPr>
      <w:r>
        <w:rPr>
          <w:sz w:val="20"/>
        </w:rP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history="0" w:anchor="P166"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
        <w:r>
          <w:rPr>
            <w:sz w:val="20"/>
            <w:color w:val="0000ff"/>
          </w:rPr>
          <w:t xml:space="preserve">пунктом 27</w:t>
        </w:r>
      </w:hyperlink>
      <w:r>
        <w:rPr>
          <w:sz w:val="20"/>
        </w:rPr>
        <w:t xml:space="preserve"> настоящих Правил, вправе лично присутствовать при проведении внеплановой проверки, а также направить своих представителей.</w:t>
      </w:r>
    </w:p>
    <w:p>
      <w:pPr>
        <w:pStyle w:val="0"/>
        <w:spacing w:before="200" w:line-rule="auto"/>
        <w:ind w:firstLine="540"/>
        <w:jc w:val="both"/>
      </w:pPr>
      <w:r>
        <w:rPr>
          <w:sz w:val="20"/>
        </w:rPr>
        <w:t xml:space="preserve">Подтверждение полномочий физических лиц, а также индивидуальных предпринимателей не требуется.</w:t>
      </w:r>
    </w:p>
    <w:p>
      <w:pPr>
        <w:pStyle w:val="0"/>
        <w:spacing w:before="200" w:line-rule="auto"/>
        <w:ind w:firstLine="540"/>
        <w:jc w:val="both"/>
      </w:pPr>
      <w:r>
        <w:rPr>
          <w:sz w:val="20"/>
        </w:rPr>
        <w:t xml:space="preserve">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pPr>
        <w:pStyle w:val="0"/>
        <w:spacing w:before="200" w:line-rule="auto"/>
        <w:ind w:firstLine="540"/>
        <w:jc w:val="both"/>
      </w:pPr>
      <w:r>
        <w:rPr>
          <w:sz w:val="20"/>
        </w:rPr>
        <w:t xml:space="preserve">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удостоверяющего личность.</w:t>
      </w:r>
    </w:p>
    <w:p>
      <w:pPr>
        <w:pStyle w:val="0"/>
        <w:spacing w:before="200" w:line-rule="auto"/>
        <w:ind w:firstLine="540"/>
        <w:jc w:val="both"/>
      </w:pPr>
      <w:r>
        <w:rPr>
          <w:sz w:val="20"/>
        </w:rPr>
        <w:t xml:space="preserve">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pPr>
        <w:pStyle w:val="0"/>
        <w:spacing w:before="200" w:line-rule="auto"/>
        <w:ind w:firstLine="540"/>
        <w:jc w:val="both"/>
      </w:pPr>
      <w:r>
        <w:rPr>
          <w:sz w:val="20"/>
        </w:rPr>
        <w:t xml:space="preserve">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pPr>
        <w:pStyle w:val="0"/>
        <w:spacing w:before="200" w:line-rule="auto"/>
        <w:ind w:firstLine="540"/>
        <w:jc w:val="both"/>
      </w:pPr>
      <w:r>
        <w:rPr>
          <w:sz w:val="20"/>
        </w:rPr>
        <w:t xml:space="preserve">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pPr>
        <w:pStyle w:val="0"/>
        <w:spacing w:before="200" w:line-rule="auto"/>
        <w:ind w:firstLine="540"/>
        <w:jc w:val="both"/>
      </w:pPr>
      <w:r>
        <w:rPr>
          <w:sz w:val="20"/>
        </w:rPr>
        <w:t xml:space="preserve">а) открывает заседание комиссии (инспекции) по проведению внеплановой проверки;</w:t>
      </w:r>
    </w:p>
    <w:p>
      <w:pPr>
        <w:pStyle w:val="0"/>
        <w:spacing w:before="200" w:line-rule="auto"/>
        <w:ind w:firstLine="540"/>
        <w:jc w:val="both"/>
      </w:pPr>
      <w:r>
        <w:rPr>
          <w:sz w:val="20"/>
        </w:rPr>
        <w:t xml:space="preserve">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pPr>
        <w:pStyle w:val="0"/>
        <w:spacing w:before="200" w:line-rule="auto"/>
        <w:ind w:firstLine="540"/>
        <w:jc w:val="both"/>
      </w:pPr>
      <w:r>
        <w:rPr>
          <w:sz w:val="20"/>
        </w:rPr>
        <w:t xml:space="preserve">в) уведомляет о том, что ведется аудиозапись заседания комиссии (инспекции) по проведению внеплановой проверки;</w:t>
      </w:r>
    </w:p>
    <w:p>
      <w:pPr>
        <w:pStyle w:val="0"/>
        <w:spacing w:before="200" w:line-rule="auto"/>
        <w:ind w:firstLine="540"/>
        <w:jc w:val="both"/>
      </w:pPr>
      <w:r>
        <w:rPr>
          <w:sz w:val="20"/>
        </w:rPr>
        <w:t xml:space="preserve">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pPr>
        <w:pStyle w:val="0"/>
        <w:spacing w:before="200" w:line-rule="auto"/>
        <w:ind w:firstLine="540"/>
        <w:jc w:val="both"/>
      </w:pPr>
      <w:r>
        <w:rPr>
          <w:sz w:val="20"/>
        </w:rPr>
        <w:t xml:space="preserve">д) принимает меры по обеспечению на заседании комиссии (инспекции) по проведению внеплановой проверки надлежащего порядка;</w:t>
      </w:r>
    </w:p>
    <w:p>
      <w:pPr>
        <w:pStyle w:val="0"/>
        <w:spacing w:before="200" w:line-rule="auto"/>
        <w:ind w:firstLine="540"/>
        <w:jc w:val="both"/>
      </w:pPr>
      <w:r>
        <w:rPr>
          <w:sz w:val="20"/>
        </w:rPr>
        <w:t xml:space="preserve">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pPr>
        <w:pStyle w:val="0"/>
        <w:spacing w:before="200" w:line-rule="auto"/>
        <w:ind w:firstLine="540"/>
        <w:jc w:val="both"/>
      </w:pPr>
      <w:r>
        <w:rPr>
          <w:sz w:val="20"/>
        </w:rP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history="0" w:anchor="P87" w:tooltip="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пунктом 27 настоящих Правил.">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pPr>
        <w:pStyle w:val="0"/>
        <w:spacing w:before="200" w:line-rule="auto"/>
        <w:ind w:firstLine="540"/>
        <w:jc w:val="both"/>
      </w:pPr>
      <w:r>
        <w:rPr>
          <w:sz w:val="20"/>
        </w:rPr>
        <w:t xml:space="preserve">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pPr>
        <w:pStyle w:val="0"/>
        <w:spacing w:before="200" w:line-rule="auto"/>
        <w:ind w:firstLine="540"/>
        <w:jc w:val="both"/>
      </w:pPr>
      <w:r>
        <w:rPr>
          <w:sz w:val="20"/>
        </w:rPr>
        <w:t xml:space="preserve">33. Решение по результатам проведения внеплановой проверки должно состоять из вводной, описательной, мотивировочной и резолютивной частей.</w:t>
      </w:r>
    </w:p>
    <w:p>
      <w:pPr>
        <w:pStyle w:val="0"/>
        <w:spacing w:before="200" w:line-rule="auto"/>
        <w:ind w:firstLine="540"/>
        <w:jc w:val="both"/>
      </w:pPr>
      <w:r>
        <w:rPr>
          <w:sz w:val="20"/>
        </w:rPr>
        <w:t xml:space="preserve">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pPr>
        <w:pStyle w:val="0"/>
        <w:spacing w:before="200" w:line-rule="auto"/>
        <w:ind w:firstLine="540"/>
        <w:jc w:val="both"/>
      </w:pPr>
      <w:r>
        <w:rPr>
          <w:sz w:val="20"/>
        </w:rPr>
        <w:t xml:space="preserve">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pPr>
        <w:pStyle w:val="0"/>
        <w:spacing w:before="200" w:line-rule="auto"/>
        <w:ind w:firstLine="540"/>
        <w:jc w:val="both"/>
      </w:pPr>
      <w:r>
        <w:rPr>
          <w:sz w:val="20"/>
        </w:rPr>
        <w:t xml:space="preserve">В мотивировочной части решения по результатам проведения внеплановой проверки должны быть указаны:</w:t>
      </w:r>
    </w:p>
    <w:p>
      <w:pPr>
        <w:pStyle w:val="0"/>
        <w:spacing w:before="200" w:line-rule="auto"/>
        <w:ind w:firstLine="540"/>
        <w:jc w:val="both"/>
      </w:pPr>
      <w:r>
        <w:rPr>
          <w:sz w:val="20"/>
        </w:rPr>
        <w:t xml:space="preserve">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pPr>
        <w:pStyle w:val="0"/>
        <w:spacing w:before="200" w:line-rule="auto"/>
        <w:ind w:firstLine="540"/>
        <w:jc w:val="both"/>
      </w:pPr>
      <w:r>
        <w:rPr>
          <w:sz w:val="20"/>
        </w:rPr>
        <w:t xml:space="preserve">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pPr>
        <w:pStyle w:val="0"/>
        <w:spacing w:before="200" w:line-rule="auto"/>
        <w:ind w:firstLine="540"/>
        <w:jc w:val="both"/>
      </w:pPr>
      <w:r>
        <w:rPr>
          <w:sz w:val="20"/>
        </w:rPr>
        <w:t xml:space="preserve">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pPr>
        <w:pStyle w:val="0"/>
        <w:spacing w:before="200" w:line-rule="auto"/>
        <w:ind w:firstLine="540"/>
        <w:jc w:val="both"/>
      </w:pPr>
      <w:r>
        <w:rPr>
          <w:sz w:val="20"/>
        </w:rPr>
        <w:t xml:space="preserve">иные сведения.</w:t>
      </w:r>
    </w:p>
    <w:p>
      <w:pPr>
        <w:pStyle w:val="0"/>
        <w:spacing w:before="200" w:line-rule="auto"/>
        <w:ind w:firstLine="540"/>
        <w:jc w:val="both"/>
      </w:pPr>
      <w:r>
        <w:rPr>
          <w:sz w:val="20"/>
        </w:rPr>
        <w:t xml:space="preserve">Резолютивная часть решения по результатам проведения внеплановой проверки должна содержать:</w:t>
      </w:r>
    </w:p>
    <w:p>
      <w:pPr>
        <w:pStyle w:val="0"/>
        <w:spacing w:before="200" w:line-rule="auto"/>
        <w:ind w:firstLine="540"/>
        <w:jc w:val="both"/>
      </w:pPr>
      <w:r>
        <w:rPr>
          <w:sz w:val="20"/>
        </w:rPr>
        <w:t xml:space="preserve">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pPr>
        <w:pStyle w:val="0"/>
        <w:spacing w:before="200" w:line-rule="auto"/>
        <w:ind w:firstLine="540"/>
        <w:jc w:val="both"/>
      </w:pPr>
      <w:r>
        <w:rPr>
          <w:sz w:val="20"/>
        </w:rPr>
        <w:t xml:space="preserve">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pPr>
        <w:pStyle w:val="0"/>
        <w:spacing w:before="200" w:line-rule="auto"/>
        <w:ind w:firstLine="540"/>
        <w:jc w:val="both"/>
      </w:pPr>
      <w:r>
        <w:rPr>
          <w:sz w:val="20"/>
        </w:rPr>
        <w:t xml:space="preserve">сведения о выдаче предписания или совершении иных действий;</w:t>
      </w:r>
    </w:p>
    <w:p>
      <w:pPr>
        <w:pStyle w:val="0"/>
        <w:spacing w:before="200" w:line-rule="auto"/>
        <w:ind w:firstLine="540"/>
        <w:jc w:val="both"/>
      </w:pPr>
      <w:r>
        <w:rPr>
          <w:sz w:val="20"/>
        </w:rPr>
        <w:t xml:space="preserve">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pPr>
        <w:pStyle w:val="0"/>
        <w:spacing w:before="200" w:line-rule="auto"/>
        <w:ind w:firstLine="540"/>
        <w:jc w:val="both"/>
      </w:pPr>
      <w:r>
        <w:rPr>
          <w:sz w:val="20"/>
        </w:rPr>
        <w:t xml:space="preserve">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pPr>
        <w:pStyle w:val="0"/>
        <w:spacing w:before="200" w:line-rule="auto"/>
        <w:ind w:firstLine="540"/>
        <w:jc w:val="both"/>
      </w:pPr>
      <w:r>
        <w:rPr>
          <w:sz w:val="20"/>
        </w:rP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органом в </w:t>
      </w:r>
      <w:hyperlink w:history="0" r:id="rId44"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4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pPr>
        <w:pStyle w:val="0"/>
        <w:spacing w:before="200" w:line-rule="auto"/>
        <w:ind w:firstLine="540"/>
        <w:jc w:val="both"/>
      </w:pPr>
      <w:r>
        <w:rPr>
          <w:sz w:val="20"/>
        </w:rPr>
        <w:t xml:space="preserve">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pPr>
        <w:pStyle w:val="0"/>
        <w:spacing w:before="200" w:line-rule="auto"/>
        <w:ind w:firstLine="540"/>
        <w:jc w:val="both"/>
      </w:pPr>
      <w:r>
        <w:rPr>
          <w:sz w:val="20"/>
        </w:rPr>
        <w:t xml:space="preserve">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pPr>
        <w:pStyle w:val="0"/>
        <w:spacing w:before="200" w:line-rule="auto"/>
        <w:ind w:firstLine="540"/>
        <w:jc w:val="both"/>
      </w:pPr>
      <w:r>
        <w:rPr>
          <w:sz w:val="20"/>
        </w:rPr>
        <w:t xml:space="preserve">36. Предписание подлежит исполнению в срок, установленный таким предписанием.</w:t>
      </w:r>
    </w:p>
    <w:p>
      <w:pPr>
        <w:pStyle w:val="0"/>
        <w:spacing w:before="200" w:line-rule="auto"/>
        <w:ind w:firstLine="540"/>
        <w:jc w:val="both"/>
      </w:pPr>
      <w:r>
        <w:rPr>
          <w:sz w:val="20"/>
        </w:rPr>
        <w:t xml:space="preserve">37. В предписании должны быть указаны:</w:t>
      </w:r>
    </w:p>
    <w:p>
      <w:pPr>
        <w:pStyle w:val="0"/>
        <w:spacing w:before="200" w:line-rule="auto"/>
        <w:ind w:firstLine="540"/>
        <w:jc w:val="both"/>
      </w:pPr>
      <w:r>
        <w:rPr>
          <w:sz w:val="20"/>
        </w:rPr>
        <w:t xml:space="preserve">а) дата и место выдачи предписания;</w:t>
      </w:r>
    </w:p>
    <w:p>
      <w:pPr>
        <w:pStyle w:val="0"/>
        <w:spacing w:before="200" w:line-rule="auto"/>
        <w:ind w:firstLine="540"/>
        <w:jc w:val="both"/>
      </w:pPr>
      <w:r>
        <w:rPr>
          <w:sz w:val="20"/>
        </w:rPr>
        <w:t xml:space="preserve">б) состав комиссии (инспекции) по проведению внеплановой проверки;</w:t>
      </w:r>
    </w:p>
    <w:p>
      <w:pPr>
        <w:pStyle w:val="0"/>
        <w:spacing w:before="200" w:line-rule="auto"/>
        <w:ind w:firstLine="540"/>
        <w:jc w:val="both"/>
      </w:pPr>
      <w:r>
        <w:rPr>
          <w:sz w:val="20"/>
        </w:rPr>
        <w:t xml:space="preserve">в) сведения о решении по результатам проведения внеплановой проверки, на основании которого выдается предписание;</w:t>
      </w:r>
    </w:p>
    <w:p>
      <w:pPr>
        <w:pStyle w:val="0"/>
        <w:spacing w:before="200" w:line-rule="auto"/>
        <w:ind w:firstLine="540"/>
        <w:jc w:val="both"/>
      </w:pPr>
      <w:r>
        <w:rPr>
          <w:sz w:val="20"/>
        </w:rPr>
        <w:t xml:space="preserve">г) наименования, адреса субъектов контроля, которым выдается предписание;</w:t>
      </w:r>
    </w:p>
    <w:p>
      <w:pPr>
        <w:pStyle w:val="0"/>
        <w:spacing w:before="200" w:line-rule="auto"/>
        <w:ind w:firstLine="540"/>
        <w:jc w:val="both"/>
      </w:pPr>
      <w:r>
        <w:rPr>
          <w:sz w:val="20"/>
        </w:rPr>
        <w:t xml:space="preserve">д) действия, которые необходимо осуществить субъектам контроля в целях устранения нарушений законодательства о контрактной системе;</w:t>
      </w:r>
    </w:p>
    <w:p>
      <w:pPr>
        <w:pStyle w:val="0"/>
        <w:spacing w:before="200" w:line-rule="auto"/>
        <w:ind w:firstLine="540"/>
        <w:jc w:val="both"/>
      </w:pPr>
      <w:r>
        <w:rPr>
          <w:sz w:val="20"/>
        </w:rPr>
        <w:t xml:space="preserve">е) сроки, в течение которых должно быть исполнено предписание;</w:t>
      </w:r>
    </w:p>
    <w:p>
      <w:pPr>
        <w:pStyle w:val="0"/>
        <w:spacing w:before="200" w:line-rule="auto"/>
        <w:ind w:firstLine="540"/>
        <w:jc w:val="both"/>
      </w:pPr>
      <w:r>
        <w:rPr>
          <w:sz w:val="20"/>
        </w:rPr>
        <w:t xml:space="preserve">ж) сроки, в течение которых в контрольный орган должны поступить копии документов и сведения об исполнении предписания.</w:t>
      </w:r>
    </w:p>
    <w:p>
      <w:pPr>
        <w:pStyle w:val="0"/>
        <w:spacing w:before="200" w:line-rule="auto"/>
        <w:ind w:firstLine="540"/>
        <w:jc w:val="both"/>
      </w:pPr>
      <w:r>
        <w:rPr>
          <w:sz w:val="20"/>
        </w:rPr>
        <w:t xml:space="preserve">38. Действиями, направленными на устранение нарушений законодательства о контрактной системе, являются:</w:t>
      </w:r>
    </w:p>
    <w:p>
      <w:pPr>
        <w:pStyle w:val="0"/>
        <w:spacing w:before="200" w:line-rule="auto"/>
        <w:ind w:firstLine="540"/>
        <w:jc w:val="both"/>
      </w:pPr>
      <w:r>
        <w:rPr>
          <w:sz w:val="20"/>
        </w:rPr>
        <w:t xml:space="preserve">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w:t>
      </w:r>
      <w:hyperlink w:history="0" r:id="rId4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предусмотрена документация о закупке);</w:t>
      </w:r>
    </w:p>
    <w:p>
      <w:pPr>
        <w:pStyle w:val="0"/>
        <w:jc w:val="both"/>
      </w:pPr>
      <w:r>
        <w:rPr>
          <w:sz w:val="20"/>
        </w:rPr>
        <w:t xml:space="preserve">(в ред. </w:t>
      </w:r>
      <w:hyperlink w:history="0" r:id="rId4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б) внесение изменений в извещение об осуществлении закупки, документацию о закупке (в случае, если Федеральным </w:t>
      </w:r>
      <w:hyperlink w:history="0" r:id="rId4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 предусмотрена документация о закупке) с продлением сроков подачи заявок в соответствии с требованиями законодательства Российской Федерации;</w:t>
      </w:r>
    </w:p>
    <w:p>
      <w:pPr>
        <w:pStyle w:val="0"/>
        <w:jc w:val="both"/>
      </w:pPr>
      <w:r>
        <w:rPr>
          <w:sz w:val="20"/>
        </w:rPr>
        <w:t xml:space="preserve">(в ред. </w:t>
      </w:r>
      <w:hyperlink w:history="0" r:id="rId49"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Постановления</w:t>
        </w:r>
      </w:hyperlink>
      <w:r>
        <w:rPr>
          <w:sz w:val="20"/>
        </w:rPr>
        <w:t xml:space="preserve"> Правительства РФ от 25.11.2021 N 2044)</w:t>
      </w:r>
    </w:p>
    <w:p>
      <w:pPr>
        <w:pStyle w:val="0"/>
        <w:spacing w:before="200" w:line-rule="auto"/>
        <w:ind w:firstLine="540"/>
        <w:jc w:val="both"/>
      </w:pPr>
      <w:r>
        <w:rPr>
          <w:sz w:val="20"/>
        </w:rPr>
        <w:t xml:space="preserve">в) осуществление закупки в соответствии с требованиями законодательства Российской Федерации;</w:t>
      </w:r>
    </w:p>
    <w:p>
      <w:pPr>
        <w:pStyle w:val="0"/>
        <w:spacing w:before="200" w:line-rule="auto"/>
        <w:ind w:firstLine="540"/>
        <w:jc w:val="both"/>
      </w:pPr>
      <w:r>
        <w:rPr>
          <w:sz w:val="20"/>
        </w:rPr>
        <w:t xml:space="preserve">г) иные действия, направленные на устранение нарушений законодательства о контрактной системе.</w:t>
      </w:r>
    </w:p>
    <w:bookmarkStart w:id="222" w:name="P222"/>
    <w:bookmarkEnd w:id="222"/>
    <w:p>
      <w:pPr>
        <w:pStyle w:val="0"/>
        <w:spacing w:before="200" w:line-rule="auto"/>
        <w:ind w:firstLine="540"/>
        <w:jc w:val="both"/>
      </w:pPr>
      <w:r>
        <w:rPr>
          <w:sz w:val="20"/>
        </w:rPr>
        <w:t xml:space="preserve">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pPr>
        <w:pStyle w:val="0"/>
        <w:spacing w:before="200" w:line-rule="auto"/>
        <w:ind w:firstLine="540"/>
        <w:jc w:val="both"/>
      </w:pPr>
      <w:r>
        <w:rPr>
          <w:sz w:val="20"/>
        </w:rPr>
        <w:t xml:space="preserve">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pPr>
        <w:pStyle w:val="0"/>
        <w:spacing w:before="200" w:line-rule="auto"/>
        <w:ind w:firstLine="540"/>
        <w:jc w:val="both"/>
      </w:pPr>
      <w:r>
        <w:rPr>
          <w:sz w:val="20"/>
        </w:rP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w:history="0" r:id="rId5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5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history="0" w:anchor="P152" w:tooltip="19. Основанием для проведения внеплановой проверки является:">
        <w:r>
          <w:rPr>
            <w:sz w:val="20"/>
            <w:color w:val="0000ff"/>
          </w:rPr>
          <w:t xml:space="preserve">пункте 19</w:t>
        </w:r>
      </w:hyperlink>
      <w:r>
        <w:rPr>
          <w:sz w:val="20"/>
        </w:rPr>
        <w:t xml:space="preserve"> настоящих Правил, в форме выездной проверки по месту нахождения субъектов контроля с учетом соблюдения требований </w:t>
      </w:r>
      <w:hyperlink w:history="0" w:anchor="P75" w:tooltip="4. Контрольные органы осуществляют контроль в сфере закупок путем проведения плановых (внеплановых) проверок.">
        <w:r>
          <w:rPr>
            <w:sz w:val="20"/>
            <w:color w:val="0000ff"/>
          </w:rPr>
          <w:t xml:space="preserve">пункта 4</w:t>
        </w:r>
      </w:hyperlink>
      <w:r>
        <w:rPr>
          <w:sz w:val="20"/>
        </w:rPr>
        <w:t xml:space="preserve"> настоящих Правил.</w:t>
      </w:r>
    </w:p>
    <w:p>
      <w:pPr>
        <w:pStyle w:val="0"/>
        <w:spacing w:before="200" w:line-rule="auto"/>
        <w:ind w:firstLine="540"/>
        <w:jc w:val="both"/>
      </w:pPr>
      <w:r>
        <w:rPr>
          <w:sz w:val="20"/>
        </w:rPr>
        <w:t xml:space="preserve">41. Внеплановая выездная проверка проводится в порядке, предусмотренном </w:t>
      </w:r>
      <w:hyperlink w:history="0" w:anchor="P233" w:tooltip="VI. Порядок организации плановой проверки и порядок">
        <w:r>
          <w:rPr>
            <w:sz w:val="20"/>
            <w:color w:val="0000ff"/>
          </w:rPr>
          <w:t xml:space="preserve">разделом VI</w:t>
        </w:r>
      </w:hyperlink>
      <w:r>
        <w:rPr>
          <w:sz w:val="20"/>
        </w:rPr>
        <w:t xml:space="preserve"> настоящих Правил для проведения плановой проверки.</w:t>
      </w:r>
    </w:p>
    <w:bookmarkStart w:id="228" w:name="P228"/>
    <w:bookmarkEnd w:id="228"/>
    <w:p>
      <w:pPr>
        <w:pStyle w:val="0"/>
        <w:spacing w:before="200" w:line-rule="auto"/>
        <w:ind w:firstLine="540"/>
        <w:jc w:val="both"/>
      </w:pPr>
      <w:r>
        <w:rPr>
          <w:sz w:val="20"/>
        </w:rPr>
        <w:t xml:space="preserve">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pPr>
        <w:pStyle w:val="0"/>
        <w:spacing w:before="200" w:line-rule="auto"/>
        <w:ind w:firstLine="540"/>
        <w:jc w:val="both"/>
      </w:pPr>
      <w:r>
        <w:rPr>
          <w:sz w:val="20"/>
        </w:rPr>
        <w:t xml:space="preserve">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pPr>
        <w:pStyle w:val="0"/>
        <w:spacing w:before="200" w:line-rule="auto"/>
        <w:ind w:firstLine="540"/>
        <w:jc w:val="both"/>
      </w:pPr>
      <w:r>
        <w:rPr>
          <w:sz w:val="20"/>
        </w:rP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w:history="0" r:id="rId5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5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w:history="0" r:id="rId5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главой 6</w:t>
        </w:r>
      </w:hyperlink>
      <w:r>
        <w:rPr>
          <w:sz w:val="20"/>
        </w:rP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w:history="0" r:id="rId55"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пунктом 1 части 15 статьи 99</w:t>
        </w:r>
      </w:hyperlink>
      <w:r>
        <w:rPr>
          <w:sz w:val="20"/>
        </w:rP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pPr>
        <w:pStyle w:val="0"/>
        <w:jc w:val="both"/>
      </w:pPr>
      <w:r>
        <w:rPr>
          <w:sz w:val="20"/>
        </w:rPr>
      </w:r>
    </w:p>
    <w:bookmarkStart w:id="233" w:name="P233"/>
    <w:bookmarkEnd w:id="233"/>
    <w:p>
      <w:pPr>
        <w:pStyle w:val="2"/>
        <w:outlineLvl w:val="1"/>
        <w:jc w:val="center"/>
      </w:pPr>
      <w:r>
        <w:rPr>
          <w:sz w:val="20"/>
        </w:rPr>
        <w:t xml:space="preserve">VI. Порядок организации плановой проверки и порядок</w:t>
      </w:r>
    </w:p>
    <w:p>
      <w:pPr>
        <w:pStyle w:val="2"/>
        <w:jc w:val="center"/>
      </w:pPr>
      <w:r>
        <w:rPr>
          <w:sz w:val="20"/>
        </w:rPr>
        <w:t xml:space="preserve">оформления ее результатов</w:t>
      </w:r>
    </w:p>
    <w:p>
      <w:pPr>
        <w:pStyle w:val="0"/>
        <w:jc w:val="both"/>
      </w:pPr>
      <w:r>
        <w:rPr>
          <w:sz w:val="20"/>
        </w:rPr>
      </w:r>
    </w:p>
    <w:p>
      <w:pPr>
        <w:pStyle w:val="0"/>
        <w:ind w:firstLine="540"/>
        <w:jc w:val="both"/>
      </w:pPr>
      <w:r>
        <w:rPr>
          <w:sz w:val="20"/>
        </w:rP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history="0" w:anchor="P300" w:tooltip="VII. Порядок отнесения субъектов контроля к определенной">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Плановые проверки не проводятся в отношении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w:history="0" r:id="rId56"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 контрактной системе.</w:t>
      </w:r>
    </w:p>
    <w:p>
      <w:pPr>
        <w:pStyle w:val="0"/>
        <w:jc w:val="both"/>
      </w:pPr>
      <w:r>
        <w:rPr>
          <w:sz w:val="20"/>
        </w:rPr>
        <w:t xml:space="preserve">(абзац введен </w:t>
      </w:r>
      <w:hyperlink w:history="0" r:id="rId57" w:tooltip="Постановление Правительства РФ от 25.11.2021 N 2044 &quot;О внесении изменений в постановление Правительства Российской Федерации от 1 октября 2020 г. N 1576&quot; {КонсультантПлюс}">
        <w:r>
          <w:rPr>
            <w:sz w:val="20"/>
            <w:color w:val="0000ff"/>
          </w:rPr>
          <w:t xml:space="preserve">Постановлением</w:t>
        </w:r>
      </w:hyperlink>
      <w:r>
        <w:rPr>
          <w:sz w:val="20"/>
        </w:rPr>
        <w:t xml:space="preserve"> Правительства РФ от 25.11.2021 N 2044)</w:t>
      </w:r>
    </w:p>
    <w:p>
      <w:pPr>
        <w:pStyle w:val="0"/>
        <w:spacing w:before="200" w:line-rule="auto"/>
        <w:ind w:firstLine="540"/>
        <w:jc w:val="both"/>
      </w:pPr>
      <w:r>
        <w:rPr>
          <w:sz w:val="20"/>
        </w:rPr>
        <w:t xml:space="preserve">План проведения плановых проверок утверждается контрольным органом в IV квартале года, предшествующего году проведения плановых проверок.</w:t>
      </w:r>
    </w:p>
    <w:p>
      <w:pPr>
        <w:pStyle w:val="0"/>
        <w:spacing w:before="200" w:line-rule="auto"/>
        <w:ind w:firstLine="540"/>
        <w:jc w:val="both"/>
      </w:pPr>
      <w:r>
        <w:rPr>
          <w:sz w:val="20"/>
        </w:rPr>
        <w:t xml:space="preserve">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pPr>
        <w:pStyle w:val="0"/>
        <w:spacing w:before="200" w:line-rule="auto"/>
        <w:ind w:firstLine="540"/>
        <w:jc w:val="both"/>
      </w:pPr>
      <w:r>
        <w:rPr>
          <w:sz w:val="20"/>
        </w:rPr>
        <w:t xml:space="preserve">46. План проведения плановых проверок должен содержать следующие сведения:</w:t>
      </w:r>
    </w:p>
    <w:p>
      <w:pPr>
        <w:pStyle w:val="0"/>
        <w:spacing w:before="200" w:line-rule="auto"/>
        <w:ind w:firstLine="540"/>
        <w:jc w:val="both"/>
      </w:pPr>
      <w:r>
        <w:rPr>
          <w:sz w:val="20"/>
        </w:rPr>
        <w:t xml:space="preserve">а) наименование контрольного органа;</w:t>
      </w:r>
    </w:p>
    <w:p>
      <w:pPr>
        <w:pStyle w:val="0"/>
        <w:spacing w:before="200" w:line-rule="auto"/>
        <w:ind w:firstLine="540"/>
        <w:jc w:val="both"/>
      </w:pPr>
      <w:r>
        <w:rPr>
          <w:sz w:val="20"/>
        </w:rPr>
        <w:t xml:space="preserve">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pPr>
        <w:pStyle w:val="0"/>
        <w:spacing w:before="200" w:line-rule="auto"/>
        <w:ind w:firstLine="540"/>
        <w:jc w:val="both"/>
      </w:pPr>
      <w:r>
        <w:rPr>
          <w:sz w:val="20"/>
        </w:rPr>
        <w:t xml:space="preserve">в) цель и основания проведения плановой проверки;</w:t>
      </w:r>
    </w:p>
    <w:p>
      <w:pPr>
        <w:pStyle w:val="0"/>
        <w:spacing w:before="200" w:line-rule="auto"/>
        <w:ind w:firstLine="540"/>
        <w:jc w:val="both"/>
      </w:pPr>
      <w:r>
        <w:rPr>
          <w:sz w:val="20"/>
        </w:rPr>
        <w:t xml:space="preserve">г) месяц начала проведения плановой проверки.</w:t>
      </w:r>
    </w:p>
    <w:p>
      <w:pPr>
        <w:pStyle w:val="0"/>
        <w:spacing w:before="200" w:line-rule="auto"/>
        <w:ind w:firstLine="540"/>
        <w:jc w:val="both"/>
      </w:pPr>
      <w:r>
        <w:rPr>
          <w:sz w:val="20"/>
        </w:rPr>
        <w:t xml:space="preserve">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pPr>
        <w:pStyle w:val="0"/>
        <w:spacing w:before="200" w:line-rule="auto"/>
        <w:ind w:firstLine="540"/>
        <w:jc w:val="both"/>
      </w:pPr>
      <w:r>
        <w:rPr>
          <w:sz w:val="20"/>
        </w:rP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w:history="0" r:id="rId5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59"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w:t>
      </w:r>
    </w:p>
    <w:p>
      <w:pPr>
        <w:pStyle w:val="0"/>
        <w:spacing w:before="200" w:line-rule="auto"/>
        <w:ind w:firstLine="540"/>
        <w:jc w:val="both"/>
      </w:pPr>
      <w:r>
        <w:rPr>
          <w:sz w:val="20"/>
        </w:rPr>
        <w:t xml:space="preserve">49. Перед плановой проверкой должностным лицам контрольного органа необходимо подготовить следующие документы:</w:t>
      </w:r>
    </w:p>
    <w:p>
      <w:pPr>
        <w:pStyle w:val="0"/>
        <w:spacing w:before="200" w:line-rule="auto"/>
        <w:ind w:firstLine="540"/>
        <w:jc w:val="both"/>
      </w:pPr>
      <w:r>
        <w:rPr>
          <w:sz w:val="20"/>
        </w:rPr>
        <w:t xml:space="preserve">а) приказ (распоряжение) о проведении плановой проверки, утверждаемый руководителем контрольного органа или уполномоченным им заместителем;</w:t>
      </w:r>
    </w:p>
    <w:p>
      <w:pPr>
        <w:pStyle w:val="0"/>
        <w:spacing w:before="200" w:line-rule="auto"/>
        <w:ind w:firstLine="540"/>
        <w:jc w:val="both"/>
      </w:pPr>
      <w:r>
        <w:rPr>
          <w:sz w:val="20"/>
        </w:rPr>
        <w:t xml:space="preserve">б) уведомление о проведении плановой проверки.</w:t>
      </w:r>
    </w:p>
    <w:p>
      <w:pPr>
        <w:pStyle w:val="0"/>
        <w:spacing w:before="200" w:line-rule="auto"/>
        <w:ind w:firstLine="540"/>
        <w:jc w:val="both"/>
      </w:pPr>
      <w:r>
        <w:rPr>
          <w:sz w:val="20"/>
        </w:rPr>
        <w:t xml:space="preserve">50. Приказ (распоряжение) о проведении плановой проверки должен содержать следующие сведения:</w:t>
      </w:r>
    </w:p>
    <w:p>
      <w:pPr>
        <w:pStyle w:val="0"/>
        <w:spacing w:before="200" w:line-rule="auto"/>
        <w:ind w:firstLine="540"/>
        <w:jc w:val="both"/>
      </w:pPr>
      <w:r>
        <w:rPr>
          <w:sz w:val="20"/>
        </w:rPr>
        <w:t xml:space="preserve">а) наименование контрольного органа;</w:t>
      </w:r>
    </w:p>
    <w:p>
      <w:pPr>
        <w:pStyle w:val="0"/>
        <w:spacing w:before="200" w:line-rule="auto"/>
        <w:ind w:firstLine="540"/>
        <w:jc w:val="both"/>
      </w:pPr>
      <w:r>
        <w:rPr>
          <w:sz w:val="20"/>
        </w:rPr>
        <w:t xml:space="preserve">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pPr>
        <w:pStyle w:val="0"/>
        <w:spacing w:before="200" w:line-rule="auto"/>
        <w:ind w:firstLine="540"/>
        <w:jc w:val="both"/>
      </w:pPr>
      <w:r>
        <w:rPr>
          <w:sz w:val="20"/>
        </w:rPr>
        <w:t xml:space="preserve">в) предмет проведения плановой проверки;</w:t>
      </w:r>
    </w:p>
    <w:p>
      <w:pPr>
        <w:pStyle w:val="0"/>
        <w:spacing w:before="200" w:line-rule="auto"/>
        <w:ind w:firstLine="540"/>
        <w:jc w:val="both"/>
      </w:pPr>
      <w:r>
        <w:rPr>
          <w:sz w:val="20"/>
        </w:rPr>
        <w:t xml:space="preserve">г) цель и основания проведения плановой проверки;</w:t>
      </w:r>
    </w:p>
    <w:p>
      <w:pPr>
        <w:pStyle w:val="0"/>
        <w:spacing w:before="200" w:line-rule="auto"/>
        <w:ind w:firstLine="540"/>
        <w:jc w:val="both"/>
      </w:pPr>
      <w:r>
        <w:rPr>
          <w:sz w:val="20"/>
        </w:rPr>
        <w:t xml:space="preserve">д) дата начала и дата окончания проведения плановой проверки;</w:t>
      </w:r>
    </w:p>
    <w:p>
      <w:pPr>
        <w:pStyle w:val="0"/>
        <w:spacing w:before="200" w:line-rule="auto"/>
        <w:ind w:firstLine="540"/>
        <w:jc w:val="both"/>
      </w:pPr>
      <w:r>
        <w:rPr>
          <w:sz w:val="20"/>
        </w:rPr>
        <w:t xml:space="preserve">е) проверяемый период;</w:t>
      </w:r>
    </w:p>
    <w:p>
      <w:pPr>
        <w:pStyle w:val="0"/>
        <w:spacing w:before="200" w:line-rule="auto"/>
        <w:ind w:firstLine="540"/>
        <w:jc w:val="both"/>
      </w:pPr>
      <w:r>
        <w:rPr>
          <w:sz w:val="20"/>
        </w:rPr>
        <w:t xml:space="preserve">ж) сроки, в течение которых составляется акт по результатам проведения плановой проверки;</w:t>
      </w:r>
    </w:p>
    <w:p>
      <w:pPr>
        <w:pStyle w:val="0"/>
        <w:spacing w:before="200" w:line-rule="auto"/>
        <w:ind w:firstLine="540"/>
        <w:jc w:val="both"/>
      </w:pPr>
      <w:r>
        <w:rPr>
          <w:sz w:val="20"/>
        </w:rPr>
        <w:t xml:space="preserve">з) наименование субъектов контроля.</w:t>
      </w:r>
    </w:p>
    <w:p>
      <w:pPr>
        <w:pStyle w:val="0"/>
        <w:spacing w:before="200" w:line-rule="auto"/>
        <w:ind w:firstLine="540"/>
        <w:jc w:val="both"/>
      </w:pPr>
      <w:r>
        <w:rPr>
          <w:sz w:val="20"/>
        </w:rPr>
        <w:t xml:space="preserve">51. Уведомление о проведении плановой проверки должно содержать следующие сведения:</w:t>
      </w:r>
    </w:p>
    <w:p>
      <w:pPr>
        <w:pStyle w:val="0"/>
        <w:spacing w:before="200" w:line-rule="auto"/>
        <w:ind w:firstLine="540"/>
        <w:jc w:val="both"/>
      </w:pPr>
      <w:r>
        <w:rPr>
          <w:sz w:val="20"/>
        </w:rPr>
        <w:t xml:space="preserve">а) предмет проведения плановой проверки;</w:t>
      </w:r>
    </w:p>
    <w:p>
      <w:pPr>
        <w:pStyle w:val="0"/>
        <w:spacing w:before="200" w:line-rule="auto"/>
        <w:ind w:firstLine="540"/>
        <w:jc w:val="both"/>
      </w:pPr>
      <w:r>
        <w:rPr>
          <w:sz w:val="20"/>
        </w:rPr>
        <w:t xml:space="preserve">б) цель и основания проведения плановой проверки;</w:t>
      </w:r>
    </w:p>
    <w:p>
      <w:pPr>
        <w:pStyle w:val="0"/>
        <w:spacing w:before="200" w:line-rule="auto"/>
        <w:ind w:firstLine="540"/>
        <w:jc w:val="both"/>
      </w:pPr>
      <w:r>
        <w:rPr>
          <w:sz w:val="20"/>
        </w:rPr>
        <w:t xml:space="preserve">в) дата начала и дата окончания проведения плановой проверки;</w:t>
      </w:r>
    </w:p>
    <w:p>
      <w:pPr>
        <w:pStyle w:val="0"/>
        <w:spacing w:before="200" w:line-rule="auto"/>
        <w:ind w:firstLine="540"/>
        <w:jc w:val="both"/>
      </w:pPr>
      <w:r>
        <w:rPr>
          <w:sz w:val="20"/>
        </w:rPr>
        <w:t xml:space="preserve">г) проверяемый период;</w:t>
      </w:r>
    </w:p>
    <w:p>
      <w:pPr>
        <w:pStyle w:val="0"/>
        <w:spacing w:before="200" w:line-rule="auto"/>
        <w:ind w:firstLine="540"/>
        <w:jc w:val="both"/>
      </w:pPr>
      <w:r>
        <w:rPr>
          <w:sz w:val="20"/>
        </w:rPr>
        <w:t xml:space="preserve">д) документы и информация, необходимые для проведения плановой проверки, с указанием срока их представления субъектами контроля;</w:t>
      </w:r>
    </w:p>
    <w:p>
      <w:pPr>
        <w:pStyle w:val="0"/>
        <w:spacing w:before="200" w:line-rule="auto"/>
        <w:ind w:firstLine="540"/>
        <w:jc w:val="both"/>
      </w:pPr>
      <w:r>
        <w:rPr>
          <w:sz w:val="20"/>
        </w:rPr>
        <w:t xml:space="preserve">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pPr>
        <w:pStyle w:val="0"/>
        <w:spacing w:before="200" w:line-rule="auto"/>
        <w:ind w:firstLine="540"/>
        <w:jc w:val="both"/>
      </w:pPr>
      <w:r>
        <w:rPr>
          <w:sz w:val="20"/>
        </w:rPr>
        <w:t xml:space="preserve">52. Контрольный орган в течение 2 рабочих дней со дня принятия приказа (распоряжения) о проведении плановой проверки размещает в </w:t>
      </w:r>
      <w:hyperlink w:history="0" r:id="rId60"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6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pPr>
        <w:pStyle w:val="0"/>
        <w:spacing w:before="200" w:line-rule="auto"/>
        <w:ind w:firstLine="540"/>
        <w:jc w:val="both"/>
      </w:pPr>
      <w:r>
        <w:rPr>
          <w:sz w:val="20"/>
        </w:rPr>
        <w:t xml:space="preserve">Уведомление о проведении плановой проверки направляется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 не позднее чем за 5 рабочих дней до дня начала проведения такой проверки.</w:t>
      </w:r>
    </w:p>
    <w:p>
      <w:pPr>
        <w:pStyle w:val="0"/>
        <w:spacing w:before="200" w:line-rule="auto"/>
        <w:ind w:firstLine="540"/>
        <w:jc w:val="both"/>
      </w:pPr>
      <w:r>
        <w:rPr>
          <w:sz w:val="20"/>
        </w:rPr>
        <w:t xml:space="preserve">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pPr>
        <w:pStyle w:val="0"/>
        <w:spacing w:before="200" w:line-rule="auto"/>
        <w:ind w:firstLine="540"/>
        <w:jc w:val="both"/>
      </w:pPr>
      <w:r>
        <w:rPr>
          <w:sz w:val="20"/>
        </w:rPr>
        <w:t xml:space="preserve">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pPr>
        <w:pStyle w:val="0"/>
        <w:spacing w:before="200" w:line-rule="auto"/>
        <w:ind w:firstLine="540"/>
        <w:jc w:val="both"/>
      </w:pPr>
      <w:r>
        <w:rPr>
          <w:sz w:val="20"/>
        </w:rPr>
        <w:t xml:space="preserve">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pPr>
        <w:pStyle w:val="0"/>
        <w:spacing w:before="200" w:line-rule="auto"/>
        <w:ind w:firstLine="540"/>
        <w:jc w:val="both"/>
      </w:pPr>
      <w:r>
        <w:rPr>
          <w:sz w:val="20"/>
        </w:rPr>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history="0" w:anchor="P166" w:tooltip="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пункте 8 настоящих Правил.">
        <w:r>
          <w:rPr>
            <w:sz w:val="20"/>
            <w:color w:val="0000ff"/>
          </w:rPr>
          <w:t xml:space="preserve">пунктами 27</w:t>
        </w:r>
      </w:hyperlink>
      <w:r>
        <w:rPr>
          <w:sz w:val="20"/>
        </w:rPr>
        <w:t xml:space="preserve"> - </w:t>
      </w:r>
      <w:hyperlink w:history="0" w:anchor="P222" w:tooltip="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
        <w:r>
          <w:rPr>
            <w:sz w:val="20"/>
            <w:color w:val="0000ff"/>
          </w:rPr>
          <w:t xml:space="preserve">39</w:t>
        </w:r>
      </w:hyperlink>
      <w:r>
        <w:rPr>
          <w:sz w:val="20"/>
        </w:rPr>
        <w:t xml:space="preserve"> и </w:t>
      </w:r>
      <w:hyperlink w:history="0" w:anchor="P228" w:tooltip="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
        <w:r>
          <w:rPr>
            <w:sz w:val="20"/>
            <w:color w:val="0000ff"/>
          </w:rPr>
          <w:t xml:space="preserve">42</w:t>
        </w:r>
      </w:hyperlink>
      <w:r>
        <w:rPr>
          <w:sz w:val="20"/>
        </w:rPr>
        <w:t xml:space="preserve"> настоящих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 за 3 рабочих дня до дня заседания такой комиссии (инспекции).</w:t>
      </w:r>
    </w:p>
    <w:p>
      <w:pPr>
        <w:pStyle w:val="0"/>
        <w:spacing w:before="200" w:line-rule="auto"/>
        <w:ind w:firstLine="540"/>
        <w:jc w:val="both"/>
      </w:pPr>
      <w:r>
        <w:rPr>
          <w:sz w:val="20"/>
        </w:rPr>
        <w:t xml:space="preserve">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pPr>
        <w:pStyle w:val="0"/>
        <w:spacing w:before="200" w:line-rule="auto"/>
        <w:ind w:firstLine="540"/>
        <w:jc w:val="both"/>
      </w:pPr>
      <w:r>
        <w:rPr>
          <w:sz w:val="20"/>
        </w:rPr>
        <w:t xml:space="preserve">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pPr>
        <w:pStyle w:val="0"/>
        <w:spacing w:before="200" w:line-rule="auto"/>
        <w:ind w:firstLine="540"/>
        <w:jc w:val="both"/>
      </w:pPr>
      <w:r>
        <w:rPr>
          <w:sz w:val="20"/>
        </w:rPr>
        <w:t xml:space="preserve">59. Акт о результатах проведения плановой проверки состоит из вводной, мотивировочной и резолютивной частей.</w:t>
      </w:r>
    </w:p>
    <w:p>
      <w:pPr>
        <w:pStyle w:val="0"/>
        <w:spacing w:before="200" w:line-rule="auto"/>
        <w:ind w:firstLine="540"/>
        <w:jc w:val="both"/>
      </w:pPr>
      <w:r>
        <w:rPr>
          <w:sz w:val="20"/>
        </w:rPr>
        <w:t xml:space="preserve">Вводная часть акта о результатах проведения плановой проверки должна содержать следующие сведения:</w:t>
      </w:r>
    </w:p>
    <w:p>
      <w:pPr>
        <w:pStyle w:val="0"/>
        <w:spacing w:before="200" w:line-rule="auto"/>
        <w:ind w:firstLine="540"/>
        <w:jc w:val="both"/>
      </w:pPr>
      <w:r>
        <w:rPr>
          <w:sz w:val="20"/>
        </w:rPr>
        <w:t xml:space="preserve">наименование контрольного органа;</w:t>
      </w:r>
    </w:p>
    <w:p>
      <w:pPr>
        <w:pStyle w:val="0"/>
        <w:spacing w:before="200" w:line-rule="auto"/>
        <w:ind w:firstLine="540"/>
        <w:jc w:val="both"/>
      </w:pPr>
      <w:r>
        <w:rPr>
          <w:sz w:val="20"/>
        </w:rPr>
        <w:t xml:space="preserve">номер, дата и место составления акта о результатах проведения плановой проверки;</w:t>
      </w:r>
    </w:p>
    <w:p>
      <w:pPr>
        <w:pStyle w:val="0"/>
        <w:spacing w:before="200" w:line-rule="auto"/>
        <w:ind w:firstLine="540"/>
        <w:jc w:val="both"/>
      </w:pPr>
      <w:r>
        <w:rPr>
          <w:sz w:val="20"/>
        </w:rPr>
        <w:t xml:space="preserve">дата и номер приказа (распоряжения) о проведении плановой проверки;</w:t>
      </w:r>
    </w:p>
    <w:p>
      <w:pPr>
        <w:pStyle w:val="0"/>
        <w:spacing w:before="200" w:line-rule="auto"/>
        <w:ind w:firstLine="540"/>
        <w:jc w:val="both"/>
      </w:pPr>
      <w:r>
        <w:rPr>
          <w:sz w:val="20"/>
        </w:rPr>
        <w:t xml:space="preserve">основания, цели и сроки проведения плановой проверки;</w:t>
      </w:r>
    </w:p>
    <w:p>
      <w:pPr>
        <w:pStyle w:val="0"/>
        <w:spacing w:before="200" w:line-rule="auto"/>
        <w:ind w:firstLine="540"/>
        <w:jc w:val="both"/>
      </w:pPr>
      <w:r>
        <w:rPr>
          <w:sz w:val="20"/>
        </w:rPr>
        <w:t xml:space="preserve">период проведения плановой проверки;</w:t>
      </w:r>
    </w:p>
    <w:p>
      <w:pPr>
        <w:pStyle w:val="0"/>
        <w:spacing w:before="200" w:line-rule="auto"/>
        <w:ind w:firstLine="540"/>
        <w:jc w:val="both"/>
      </w:pPr>
      <w:r>
        <w:rPr>
          <w:sz w:val="20"/>
        </w:rPr>
        <w:t xml:space="preserve">предмет проведения плановой проверки;</w:t>
      </w:r>
    </w:p>
    <w:p>
      <w:pPr>
        <w:pStyle w:val="0"/>
        <w:spacing w:before="200" w:line-rule="auto"/>
        <w:ind w:firstLine="540"/>
        <w:jc w:val="both"/>
      </w:pPr>
      <w:r>
        <w:rPr>
          <w:sz w:val="20"/>
        </w:rPr>
        <w:t xml:space="preserve">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pPr>
        <w:pStyle w:val="0"/>
        <w:spacing w:before="200" w:line-rule="auto"/>
        <w:ind w:firstLine="540"/>
        <w:jc w:val="both"/>
      </w:pPr>
      <w:r>
        <w:rPr>
          <w:sz w:val="20"/>
        </w:rPr>
        <w:t xml:space="preserve">наименование, адрес местонахождения субъекта контроля, в отношении закупок которого принято решение о проведении плановой проверки.</w:t>
      </w:r>
    </w:p>
    <w:p>
      <w:pPr>
        <w:pStyle w:val="0"/>
        <w:spacing w:before="200" w:line-rule="auto"/>
        <w:ind w:firstLine="540"/>
        <w:jc w:val="both"/>
      </w:pPr>
      <w:r>
        <w:rPr>
          <w:sz w:val="20"/>
        </w:rPr>
        <w:t xml:space="preserve">В мотивировочной части акта о результатах проведения плановой проверки должны быть указаны следующие сведения:</w:t>
      </w:r>
    </w:p>
    <w:p>
      <w:pPr>
        <w:pStyle w:val="0"/>
        <w:spacing w:before="200" w:line-rule="auto"/>
        <w:ind w:firstLine="540"/>
        <w:jc w:val="both"/>
      </w:pPr>
      <w:r>
        <w:rPr>
          <w:sz w:val="20"/>
        </w:rPr>
        <w:t xml:space="preserve">обстоятельства, установленные при проведении плановой проверки и обосновывающие выводы комиссии по проведению плановой (внеплановой) проверки;</w:t>
      </w:r>
    </w:p>
    <w:p>
      <w:pPr>
        <w:pStyle w:val="0"/>
        <w:spacing w:before="200" w:line-rule="auto"/>
        <w:ind w:firstLine="540"/>
        <w:jc w:val="both"/>
      </w:pPr>
      <w:r>
        <w:rPr>
          <w:sz w:val="20"/>
        </w:rPr>
        <w:t xml:space="preserve">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pPr>
        <w:pStyle w:val="0"/>
        <w:spacing w:before="200" w:line-rule="auto"/>
        <w:ind w:firstLine="540"/>
        <w:jc w:val="both"/>
      </w:pPr>
      <w:r>
        <w:rPr>
          <w:sz w:val="20"/>
        </w:rPr>
        <w:t xml:space="preserve">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pPr>
        <w:pStyle w:val="0"/>
        <w:spacing w:before="200" w:line-rule="auto"/>
        <w:ind w:firstLine="540"/>
        <w:jc w:val="both"/>
      </w:pPr>
      <w:r>
        <w:rPr>
          <w:sz w:val="20"/>
        </w:rPr>
        <w:t xml:space="preserve">иные сведения.</w:t>
      </w:r>
    </w:p>
    <w:p>
      <w:pPr>
        <w:pStyle w:val="0"/>
        <w:spacing w:before="200" w:line-rule="auto"/>
        <w:ind w:firstLine="540"/>
        <w:jc w:val="both"/>
      </w:pPr>
      <w:r>
        <w:rPr>
          <w:sz w:val="20"/>
        </w:rPr>
        <w:t xml:space="preserve">Резолютивная часть акта о результатах проведения плановой проверки должна содержать следующие сведения:</w:t>
      </w:r>
    </w:p>
    <w:p>
      <w:pPr>
        <w:pStyle w:val="0"/>
        <w:spacing w:before="200" w:line-rule="auto"/>
        <w:ind w:firstLine="540"/>
        <w:jc w:val="both"/>
      </w:pPr>
      <w:r>
        <w:rPr>
          <w:sz w:val="20"/>
        </w:rPr>
        <w:t xml:space="preserve">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pPr>
        <w:pStyle w:val="0"/>
        <w:spacing w:before="200" w:line-rule="auto"/>
        <w:ind w:firstLine="540"/>
        <w:jc w:val="both"/>
      </w:pPr>
      <w:r>
        <w:rPr>
          <w:sz w:val="20"/>
        </w:rPr>
        <w:t xml:space="preserve">сведения о выдаче предписания (в случае его наличия);</w:t>
      </w:r>
    </w:p>
    <w:p>
      <w:pPr>
        <w:pStyle w:val="0"/>
        <w:spacing w:before="200" w:line-rule="auto"/>
        <w:ind w:firstLine="540"/>
        <w:jc w:val="both"/>
      </w:pPr>
      <w:r>
        <w:rPr>
          <w:sz w:val="20"/>
        </w:rPr>
        <w:t xml:space="preserve">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pPr>
        <w:pStyle w:val="0"/>
        <w:spacing w:before="200" w:line-rule="auto"/>
        <w:ind w:firstLine="540"/>
        <w:jc w:val="both"/>
      </w:pPr>
      <w:r>
        <w:rPr>
          <w:sz w:val="20"/>
        </w:rPr>
        <w:t xml:space="preserve">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pPr>
        <w:pStyle w:val="0"/>
        <w:spacing w:before="200" w:line-rule="auto"/>
        <w:ind w:firstLine="540"/>
        <w:jc w:val="both"/>
      </w:pPr>
      <w:r>
        <w:rPr>
          <w:sz w:val="20"/>
        </w:rPr>
        <w:t xml:space="preserve">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pPr>
        <w:pStyle w:val="0"/>
        <w:spacing w:before="200" w:line-rule="auto"/>
        <w:ind w:firstLine="540"/>
        <w:jc w:val="both"/>
      </w:pPr>
      <w:r>
        <w:rPr>
          <w:sz w:val="20"/>
        </w:rPr>
        <w:t xml:space="preserve">Копия акта о результатах проведения плановой проверки не позднее 3 рабочих дней со дня его подписания размещается в </w:t>
      </w:r>
      <w:hyperlink w:history="0" r:id="rId62"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порядке</w:t>
        </w:r>
      </w:hyperlink>
      <w:r>
        <w:rPr>
          <w:sz w:val="20"/>
        </w:rPr>
        <w:t xml:space="preserve">, утвержденном Правительством Российской Федерации в соответствии с </w:t>
      </w:r>
      <w:hyperlink w:history="0" r:id="rId63"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частью 21 статьи 99</w:t>
        </w:r>
      </w:hyperlink>
      <w:r>
        <w:rPr>
          <w:sz w:val="20"/>
        </w:rP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history="0" w:anchor="P105" w:tooltip="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quot;ВЭБ.РФ&quot;, региональной гарантийной организации по адресу электр...">
        <w:r>
          <w:rPr>
            <w:sz w:val="20"/>
            <w:color w:val="0000ff"/>
          </w:rPr>
          <w:t xml:space="preserve">пункте 8</w:t>
        </w:r>
      </w:hyperlink>
      <w:r>
        <w:rPr>
          <w:sz w:val="20"/>
        </w:rPr>
        <w:t xml:space="preserve"> настоящих Правил.</w:t>
      </w:r>
    </w:p>
    <w:p>
      <w:pPr>
        <w:pStyle w:val="0"/>
        <w:spacing w:before="200" w:line-rule="auto"/>
        <w:ind w:firstLine="540"/>
        <w:jc w:val="both"/>
      </w:pPr>
      <w:r>
        <w:rPr>
          <w:sz w:val="20"/>
        </w:rP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history="0" w:anchor="P228" w:tooltip="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pPr>
        <w:pStyle w:val="0"/>
        <w:jc w:val="both"/>
      </w:pPr>
      <w:r>
        <w:rPr>
          <w:sz w:val="20"/>
        </w:rPr>
      </w:r>
    </w:p>
    <w:bookmarkStart w:id="300" w:name="P300"/>
    <w:bookmarkEnd w:id="300"/>
    <w:p>
      <w:pPr>
        <w:pStyle w:val="2"/>
        <w:outlineLvl w:val="1"/>
        <w:jc w:val="center"/>
      </w:pPr>
      <w:r>
        <w:rPr>
          <w:sz w:val="20"/>
        </w:rPr>
        <w:t xml:space="preserve">VII. Порядок отнесения субъектов контроля к определенной</w:t>
      </w:r>
    </w:p>
    <w:p>
      <w:pPr>
        <w:pStyle w:val="2"/>
        <w:jc w:val="center"/>
      </w:pPr>
      <w:r>
        <w:rPr>
          <w:sz w:val="20"/>
        </w:rPr>
        <w:t xml:space="preserve">категории риска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 w:name="P305"/>
    <w:bookmarkEnd w:id="305"/>
    <w:p>
      <w:pPr>
        <w:pStyle w:val="0"/>
        <w:spacing w:before="260" w:line-rule="auto"/>
        <w:ind w:firstLine="540"/>
        <w:jc w:val="both"/>
      </w:pPr>
      <w:r>
        <w:rPr>
          <w:sz w:val="20"/>
        </w:rPr>
        <w:t xml:space="preserve">62. Контрольный орган включает в план проведения плановых проверок субъекты контроля с учетом их отнесения к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Категории риска делятся на высокую категорию риска, среднюю категорию риска и низкую категорию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64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1" w:name="P311"/>
    <w:bookmarkEnd w:id="311"/>
    <w:p>
      <w:pPr>
        <w:pStyle w:val="0"/>
        <w:spacing w:before="260" w:line-rule="auto"/>
        <w:ind w:firstLine="540"/>
        <w:jc w:val="both"/>
      </w:pPr>
      <w:r>
        <w:rPr>
          <w:sz w:val="20"/>
        </w:rPr>
        <w:t xml:space="preserve">64. Отнесение субъектов контроля к определенной категории риска осуществляется на основании следующих критериев:</w:t>
      </w:r>
    </w:p>
    <w:bookmarkStart w:id="312" w:name="P312"/>
    <w:bookmarkEnd w:id="312"/>
    <w:p>
      <w:pPr>
        <w:pStyle w:val="0"/>
        <w:spacing w:before="200" w:line-rule="auto"/>
        <w:ind w:firstLine="540"/>
        <w:jc w:val="both"/>
      </w:pPr>
      <w:r>
        <w:rPr>
          <w:sz w:val="20"/>
        </w:rPr>
        <w:t xml:space="preserve">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bookmarkStart w:id="313" w:name="P313"/>
    <w:bookmarkEnd w:id="313"/>
    <w:p>
      <w:pPr>
        <w:pStyle w:val="0"/>
        <w:spacing w:before="200" w:line-rule="auto"/>
        <w:ind w:firstLine="540"/>
        <w:jc w:val="both"/>
      </w:pPr>
      <w:r>
        <w:rPr>
          <w:sz w:val="20"/>
        </w:rPr>
        <w:t xml:space="preserve">б) количество случаев неисполнения субъектами контроля предписаний;</w:t>
      </w:r>
    </w:p>
    <w:bookmarkStart w:id="314" w:name="P314"/>
    <w:bookmarkEnd w:id="314"/>
    <w:p>
      <w:pPr>
        <w:pStyle w:val="0"/>
        <w:spacing w:before="200" w:line-rule="auto"/>
        <w:ind w:firstLine="540"/>
        <w:jc w:val="both"/>
      </w:pPr>
      <w:r>
        <w:rPr>
          <w:sz w:val="20"/>
        </w:rPr>
        <w:t xml:space="preserve">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65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 w:name="P317"/>
    <w:bookmarkEnd w:id="317"/>
    <w:p>
      <w:pPr>
        <w:pStyle w:val="0"/>
        <w:spacing w:before="260" w:line-rule="auto"/>
        <w:ind w:firstLine="540"/>
        <w:jc w:val="both"/>
      </w:pPr>
      <w:r>
        <w:rPr>
          <w:sz w:val="20"/>
        </w:rP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history="0" w:anchor="P31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w:r>
          <w:rPr>
            <w:sz w:val="20"/>
            <w:color w:val="0000ff"/>
          </w:rPr>
          <w:t xml:space="preserve">подпунктом "в" пункта 64</w:t>
        </w:r>
      </w:hyperlink>
      <w:r>
        <w:rPr>
          <w:sz w:val="20"/>
        </w:rPr>
        <w:t xml:space="preserve"> настоящих Правил.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66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66. Контрольный орган рассчитывает критерии, указанные в </w:t>
      </w:r>
      <w:hyperlink w:history="0" w:anchor="P311" w:tooltip="64. Отнесение субъектов контроля к определенной категории риска осуществляется на основании следующих критериев:">
        <w:r>
          <w:rPr>
            <w:sz w:val="20"/>
            <w:color w:val="0000ff"/>
          </w:rPr>
          <w:t xml:space="preserve">пункте 64</w:t>
        </w:r>
      </w:hyperlink>
      <w:r>
        <w:rPr>
          <w:sz w:val="20"/>
        </w:rP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67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67. Контрольный орган в целях расчета критерия, указанного в </w:t>
      </w:r>
      <w:hyperlink w:history="0" w:anchor="P31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r>
          <w:rPr>
            <w:sz w:val="20"/>
            <w:color w:val="0000ff"/>
          </w:rPr>
          <w:t xml:space="preserve">подпункте "а" пункта 64</w:t>
        </w:r>
      </w:hyperlink>
      <w:r>
        <w:rPr>
          <w:sz w:val="20"/>
        </w:rP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68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68. Контрольный орган в целях расчета критерия, указанного в </w:t>
      </w:r>
      <w:hyperlink w:history="0" w:anchor="P313" w:tooltip="б) количество случаев неисполнения субъектами контроля предписаний;">
        <w:r>
          <w:rPr>
            <w:sz w:val="20"/>
            <w:color w:val="0000ff"/>
          </w:rPr>
          <w:t xml:space="preserve">подпункте "б" пункта 64</w:t>
        </w:r>
      </w:hyperlink>
      <w:r>
        <w:rPr>
          <w:sz w:val="20"/>
        </w:rP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69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69. Контрольный орган в целях расчета критерия, указанного в </w:t>
      </w:r>
      <w:hyperlink w:history="0" w:anchor="P31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w:r>
          <w:rPr>
            <w:sz w:val="20"/>
            <w:color w:val="0000ff"/>
          </w:rPr>
          <w:t xml:space="preserve">подпункте "в" пункта 64</w:t>
        </w:r>
      </w:hyperlink>
      <w:r>
        <w:rPr>
          <w:sz w:val="20"/>
        </w:rP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70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70. Критерий, указанный в </w:t>
      </w:r>
      <w:hyperlink w:history="0" w:anchor="P31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r>
          <w:rPr>
            <w:sz w:val="20"/>
            <w:color w:val="0000ff"/>
          </w:rPr>
          <w:t xml:space="preserve">подпункте "а" пункта 64</w:t>
        </w:r>
      </w:hyperlink>
      <w:r>
        <w:rPr>
          <w:sz w:val="20"/>
        </w:rPr>
        <w:t xml:space="preserve"> настоящих Правил (КР</w:t>
      </w:r>
      <w:r>
        <w:rPr>
          <w:sz w:val="20"/>
          <w:vertAlign w:val="subscript"/>
        </w:rPr>
        <w:t xml:space="preserve">1</w:t>
      </w:r>
      <w:r>
        <w:rPr>
          <w:sz w:val="20"/>
        </w:rPr>
        <w:t xml:space="preserve">),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sz w:val="20"/>
          <w:vertAlign w:val="subscript"/>
        </w:rPr>
        <w:t xml:space="preserve">1</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0953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1095375"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pPr>
        <w:pStyle w:val="0"/>
        <w:spacing w:before="200" w:line-rule="auto"/>
        <w:ind w:firstLine="540"/>
        <w:jc w:val="both"/>
      </w:pPr>
      <w:r>
        <w:rPr>
          <w:sz w:val="20"/>
        </w:rPr>
        <w:t xml:space="preserve">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pPr>
        <w:pStyle w:val="0"/>
        <w:spacing w:before="200" w:line-rule="auto"/>
        <w:ind w:firstLine="540"/>
        <w:jc w:val="both"/>
      </w:pPr>
      <w:r>
        <w:rPr>
          <w:sz w:val="20"/>
        </w:rPr>
        <w:t xml:space="preserve">Значимость этого критерия (КР</w:t>
      </w:r>
      <w:r>
        <w:rPr>
          <w:sz w:val="20"/>
          <w:vertAlign w:val="subscript"/>
        </w:rPr>
        <w:t xml:space="preserve">1</w:t>
      </w:r>
      <w:r>
        <w:rPr>
          <w:sz w:val="20"/>
        </w:rPr>
        <w:t xml:space="preserve">) составляет 25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71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Критерий, указанный в </w:t>
      </w:r>
      <w:hyperlink w:history="0" w:anchor="P313" w:tooltip="б) количество случаев неисполнения субъектами контроля предписаний;">
        <w:r>
          <w:rPr>
            <w:sz w:val="20"/>
            <w:color w:val="0000ff"/>
          </w:rPr>
          <w:t xml:space="preserve">подпункте "б" пункта 64</w:t>
        </w:r>
      </w:hyperlink>
      <w:r>
        <w:rPr>
          <w:sz w:val="20"/>
        </w:rPr>
        <w:t xml:space="preserve"> настоящих Правил (КР</w:t>
      </w:r>
      <w:r>
        <w:rPr>
          <w:sz w:val="20"/>
          <w:vertAlign w:val="subscript"/>
        </w:rPr>
        <w:t xml:space="preserve">2</w:t>
      </w:r>
      <w:r>
        <w:rPr>
          <w:sz w:val="20"/>
        </w:rPr>
        <w:t xml:space="preserve">),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sz w:val="20"/>
          <w:vertAlign w:val="subscript"/>
        </w:rPr>
        <w:t xml:space="preserve">2</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1430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НП - количество неисполненных предписаний, в отношении которых судом не приняты обеспечительные меры, за текущий календарный год;</w:t>
      </w:r>
    </w:p>
    <w:p>
      <w:pPr>
        <w:pStyle w:val="0"/>
        <w:spacing w:before="200" w:line-rule="auto"/>
        <w:ind w:firstLine="540"/>
        <w:jc w:val="both"/>
      </w:pPr>
      <w:r>
        <w:rPr>
          <w:sz w:val="20"/>
        </w:rPr>
        <w:t xml:space="preserve">П - общее количество предписаний, выданных контрольными органами в отношении субъекта контроля, за текущий календарный год.</w:t>
      </w:r>
    </w:p>
    <w:p>
      <w:pPr>
        <w:pStyle w:val="0"/>
        <w:spacing w:before="200" w:line-rule="auto"/>
        <w:ind w:firstLine="540"/>
        <w:jc w:val="both"/>
      </w:pPr>
      <w:r>
        <w:rPr>
          <w:sz w:val="20"/>
        </w:rPr>
        <w:t xml:space="preserve">Значимость этого критерия (КР</w:t>
      </w:r>
      <w:r>
        <w:rPr>
          <w:sz w:val="20"/>
          <w:vertAlign w:val="subscript"/>
        </w:rPr>
        <w:t xml:space="preserve">2</w:t>
      </w:r>
      <w:r>
        <w:rPr>
          <w:sz w:val="20"/>
        </w:rPr>
        <w:t xml:space="preserve">) составляет 50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72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 Критерий, указанный в </w:t>
      </w:r>
      <w:hyperlink w:history="0" w:anchor="P314" w:tooltip="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w:r>
          <w:rPr>
            <w:sz w:val="20"/>
            <w:color w:val="0000ff"/>
          </w:rPr>
          <w:t xml:space="preserve">подпункте "в" пункта 64</w:t>
        </w:r>
      </w:hyperlink>
      <w:r>
        <w:rPr>
          <w:sz w:val="20"/>
        </w:rPr>
        <w:t xml:space="preserve"> настоящих Правил (КР</w:t>
      </w:r>
      <w:r>
        <w:rPr>
          <w:sz w:val="20"/>
          <w:vertAlign w:val="subscript"/>
        </w:rPr>
        <w:t xml:space="preserve">3</w:t>
      </w:r>
      <w:r>
        <w:rPr>
          <w:sz w:val="20"/>
        </w:rP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sz w:val="20"/>
          <w:vertAlign w:val="subscript"/>
        </w:rPr>
        <w:t xml:space="preserve">3</w:t>
      </w:r>
      <w:r>
        <w:rPr>
          <w:sz w:val="20"/>
        </w:rPr>
        <w:t xml:space="preserve">) определяется по формуле:</w:t>
      </w:r>
    </w:p>
    <w:p>
      <w:pPr>
        <w:pStyle w:val="0"/>
        <w:jc w:val="both"/>
      </w:pPr>
      <w:r>
        <w:rPr>
          <w:sz w:val="20"/>
        </w:rPr>
      </w:r>
    </w:p>
    <w:p>
      <w:pPr>
        <w:pStyle w:val="0"/>
        <w:jc w:val="center"/>
      </w:pPr>
      <w:r>
        <w:rPr>
          <w:position w:val="-20"/>
        </w:rPr>
        <w:drawing>
          <wp:inline distT="0" distB="0" distL="0" distR="0">
            <wp:extent cx="13716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pPr>
        <w:pStyle w:val="0"/>
        <w:spacing w:before="200" w:line-rule="auto"/>
        <w:ind w:firstLine="540"/>
        <w:jc w:val="both"/>
      </w:pPr>
      <w:r>
        <w:rPr>
          <w:sz w:val="20"/>
        </w:rPr>
        <w:t xml:space="preserve">РКmax - общее количество решений заказчика об одностороннем отказе от исполнения контракта за текущий календарный год.</w:t>
      </w:r>
    </w:p>
    <w:p>
      <w:pPr>
        <w:pStyle w:val="0"/>
        <w:spacing w:before="200" w:line-rule="auto"/>
        <w:ind w:firstLine="540"/>
        <w:jc w:val="both"/>
      </w:pPr>
      <w:r>
        <w:rPr>
          <w:sz w:val="20"/>
        </w:rPr>
        <w:t xml:space="preserve">Значимость этого критерия (КР</w:t>
      </w:r>
      <w:r>
        <w:rPr>
          <w:sz w:val="20"/>
          <w:vertAlign w:val="subscript"/>
        </w:rPr>
        <w:t xml:space="preserve">3</w:t>
      </w:r>
      <w:r>
        <w:rPr>
          <w:sz w:val="20"/>
        </w:rPr>
        <w:t xml:space="preserve">) составляет 25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73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73. Категории риска в отношении субъектов контроля рассчитываются по формуле:</w:t>
      </w:r>
    </w:p>
    <w:p>
      <w:pPr>
        <w:pStyle w:val="0"/>
        <w:jc w:val="both"/>
      </w:pPr>
      <w:r>
        <w:rPr>
          <w:sz w:val="20"/>
        </w:rPr>
      </w:r>
    </w:p>
    <w:p>
      <w:pPr>
        <w:pStyle w:val="0"/>
        <w:jc w:val="center"/>
      </w:pPr>
      <w:r>
        <w:rPr>
          <w:position w:val="-5"/>
        </w:rPr>
        <w:drawing>
          <wp:inline distT="0" distB="0" distL="0" distR="0">
            <wp:extent cx="16192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0"/>
        </w:rPr>
        <w:t xml:space="preserve"> = 0,25 x КР</w:t>
      </w:r>
      <w:r>
        <w:rPr>
          <w:sz w:val="20"/>
          <w:vertAlign w:val="subscript"/>
        </w:rPr>
        <w:t xml:space="preserve">1</w:t>
      </w:r>
      <w:r>
        <w:rPr>
          <w:sz w:val="20"/>
        </w:rPr>
        <w:t xml:space="preserve"> + 0,5 x КР</w:t>
      </w:r>
      <w:r>
        <w:rPr>
          <w:sz w:val="20"/>
          <w:vertAlign w:val="subscript"/>
        </w:rPr>
        <w:t xml:space="preserve">2</w:t>
      </w:r>
      <w:r>
        <w:rPr>
          <w:sz w:val="20"/>
        </w:rPr>
        <w:t xml:space="preserve"> + 0,25 x КР</w:t>
      </w:r>
      <w:r>
        <w:rPr>
          <w:sz w:val="20"/>
          <w:vertAlign w:val="subscript"/>
        </w:rPr>
        <w:t xml:space="preserve">3</w:t>
      </w:r>
      <w:r>
        <w:rPr>
          <w:sz w:val="20"/>
        </w:rPr>
        <w:t xml:space="preserve">.</w:t>
      </w:r>
    </w:p>
    <w:p>
      <w:pPr>
        <w:pStyle w:val="0"/>
        <w:jc w:val="both"/>
      </w:pPr>
      <w:r>
        <w:rPr>
          <w:sz w:val="20"/>
        </w:rPr>
      </w:r>
    </w:p>
    <w:p>
      <w:pPr>
        <w:pStyle w:val="0"/>
        <w:ind w:firstLine="540"/>
        <w:jc w:val="both"/>
      </w:pPr>
      <w:r>
        <w:rPr>
          <w:sz w:val="20"/>
        </w:rPr>
        <w:t xml:space="preserve">При расчете категории риска в отношении субъектов контроля в случае, предусмотренном </w:t>
      </w:r>
      <w:hyperlink w:history="0" w:anchor="P317" w:tooltip="65. Контрольный орган вправе использовать в отношении субъектов контроля при их включении в план проведения плановых проверок критерий, предусмотренный подпунктом &quot;в&quot; пункта 64 настоящих Правил.">
        <w:r>
          <w:rPr>
            <w:sz w:val="20"/>
            <w:color w:val="0000ff"/>
          </w:rPr>
          <w:t xml:space="preserve">пунктом 65</w:t>
        </w:r>
      </w:hyperlink>
      <w:r>
        <w:rPr>
          <w:sz w:val="20"/>
        </w:rPr>
        <w:t xml:space="preserve"> настоящих Правил, расчет осуществляется на основании критерия, указанного в </w:t>
      </w:r>
      <w:hyperlink w:history="0" w:anchor="P312" w:tooltip="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w:r>
          <w:rPr>
            <w:sz w:val="20"/>
            <w:color w:val="0000ff"/>
          </w:rPr>
          <w:t xml:space="preserve">подпункте "а" пункта 64</w:t>
        </w:r>
      </w:hyperlink>
      <w:r>
        <w:rPr>
          <w:sz w:val="20"/>
        </w:rPr>
        <w:t xml:space="preserve"> настоящих Правил, и критерия, указанного в </w:t>
      </w:r>
      <w:hyperlink w:history="0" w:anchor="P313" w:tooltip="б) количество случаев неисполнения субъектами контроля предписаний;">
        <w:r>
          <w:rPr>
            <w:sz w:val="20"/>
            <w:color w:val="0000ff"/>
          </w:rPr>
          <w:t xml:space="preserve">подпункте "б" пункта 64</w:t>
        </w:r>
      </w:hyperlink>
      <w:r>
        <w:rPr>
          <w:sz w:val="20"/>
        </w:rPr>
        <w:t xml:space="preserve"> настоящих Правил, значимость которых составляет 30 и 70 процентов соответственно.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74 </w:t>
            </w:r>
            <w:hyperlink w:history="0" w:anchor="P29" w:tooltip="пунктов 62 - 74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Ф&quot;, региональных гарантийных орг...">
              <w:r>
                <w:rPr>
                  <w:sz w:val="20"/>
                  <w:color w:val="0000ff"/>
                </w:rPr>
                <w:t xml:space="preserve">вступает</w:t>
              </w:r>
            </w:hyperlink>
            <w:r>
              <w:rPr>
                <w:sz w:val="20"/>
                <w:color w:val="392c69"/>
              </w:rPr>
              <w:t xml:space="preserve"> в силу с 01.07.2022.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74. Субъекты контроля, которые по критериям набрали от 60 до 100 баллов включительно, относятся к категории высокого риска.</w:t>
      </w:r>
    </w:p>
    <w:p>
      <w:pPr>
        <w:pStyle w:val="0"/>
        <w:spacing w:before="200" w:line-rule="auto"/>
        <w:ind w:firstLine="540"/>
        <w:jc w:val="both"/>
      </w:pPr>
      <w:r>
        <w:rPr>
          <w:sz w:val="20"/>
        </w:rPr>
        <w:t xml:space="preserve">Субъекты контроля, которые по критериям набрали от 30 до 60 баллов включительно, относятся к категории среднего риска.</w:t>
      </w:r>
    </w:p>
    <w:p>
      <w:pPr>
        <w:pStyle w:val="0"/>
        <w:spacing w:before="200" w:line-rule="auto"/>
        <w:ind w:firstLine="540"/>
        <w:jc w:val="both"/>
      </w:pPr>
      <w:r>
        <w:rPr>
          <w:sz w:val="20"/>
        </w:rPr>
        <w:t xml:space="preserve">Субъекты контроля, которые по критериям набрали до 30 баллов включительно, относятся к категории низкого риска.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осуществления контроля в сфере</w:t>
      </w:r>
    </w:p>
    <w:p>
      <w:pPr>
        <w:pStyle w:val="0"/>
        <w:jc w:val="right"/>
      </w:pPr>
      <w:r>
        <w:rPr>
          <w:sz w:val="20"/>
        </w:rPr>
        <w:t xml:space="preserve">закупок товаров, работ, услуг в отношении</w:t>
      </w:r>
    </w:p>
    <w:p>
      <w:pPr>
        <w:pStyle w:val="0"/>
        <w:jc w:val="right"/>
      </w:pPr>
      <w:r>
        <w:rPr>
          <w:sz w:val="20"/>
        </w:rPr>
        <w:t xml:space="preserve">заказчиков, контрактных служб, контрактных</w:t>
      </w:r>
    </w:p>
    <w:p>
      <w:pPr>
        <w:pStyle w:val="0"/>
        <w:jc w:val="right"/>
      </w:pPr>
      <w:r>
        <w:rPr>
          <w:sz w:val="20"/>
        </w:rPr>
        <w:t xml:space="preserve">управляющих, комиссий по осуществлению</w:t>
      </w:r>
    </w:p>
    <w:p>
      <w:pPr>
        <w:pStyle w:val="0"/>
        <w:jc w:val="right"/>
      </w:pPr>
      <w:r>
        <w:rPr>
          <w:sz w:val="20"/>
        </w:rPr>
        <w:t xml:space="preserve">закупок товаров, работ, услуг</w:t>
      </w:r>
    </w:p>
    <w:p>
      <w:pPr>
        <w:pStyle w:val="0"/>
        <w:jc w:val="right"/>
      </w:pPr>
      <w:r>
        <w:rPr>
          <w:sz w:val="20"/>
        </w:rPr>
        <w:t xml:space="preserve">и их членов, уполномоченных</w:t>
      </w:r>
    </w:p>
    <w:p>
      <w:pPr>
        <w:pStyle w:val="0"/>
        <w:jc w:val="right"/>
      </w:pPr>
      <w:r>
        <w:rPr>
          <w:sz w:val="20"/>
        </w:rPr>
        <w:t xml:space="preserve">органов, уполномоченных учреждений,</w:t>
      </w:r>
    </w:p>
    <w:p>
      <w:pPr>
        <w:pStyle w:val="0"/>
        <w:jc w:val="right"/>
      </w:pPr>
      <w:r>
        <w:rPr>
          <w:sz w:val="20"/>
        </w:rPr>
        <w:t xml:space="preserve">специализированных организаций,</w:t>
      </w:r>
    </w:p>
    <w:p>
      <w:pPr>
        <w:pStyle w:val="0"/>
        <w:jc w:val="right"/>
      </w:pPr>
      <w:r>
        <w:rPr>
          <w:sz w:val="20"/>
        </w:rPr>
        <w:t xml:space="preserve">операторов электронных площадок,</w:t>
      </w:r>
    </w:p>
    <w:p>
      <w:pPr>
        <w:pStyle w:val="0"/>
        <w:jc w:val="right"/>
      </w:pPr>
      <w:r>
        <w:rPr>
          <w:sz w:val="20"/>
        </w:rPr>
        <w:t xml:space="preserve">операторов специализированных</w:t>
      </w:r>
    </w:p>
    <w:p>
      <w:pPr>
        <w:pStyle w:val="0"/>
        <w:jc w:val="right"/>
      </w:pPr>
      <w:r>
        <w:rPr>
          <w:sz w:val="20"/>
        </w:rPr>
        <w:t xml:space="preserve">электронных площадок, банков,</w:t>
      </w:r>
    </w:p>
    <w:p>
      <w:pPr>
        <w:pStyle w:val="0"/>
        <w:jc w:val="right"/>
      </w:pPr>
      <w:r>
        <w:rPr>
          <w:sz w:val="20"/>
        </w:rPr>
        <w:t xml:space="preserve">государственной корпорации</w:t>
      </w:r>
    </w:p>
    <w:p>
      <w:pPr>
        <w:pStyle w:val="0"/>
        <w:jc w:val="right"/>
      </w:pPr>
      <w:r>
        <w:rPr>
          <w:sz w:val="20"/>
        </w:rPr>
        <w:t xml:space="preserve">развития "ВЭБ.РФ", региональных</w:t>
      </w:r>
    </w:p>
    <w:p>
      <w:pPr>
        <w:pStyle w:val="0"/>
        <w:jc w:val="right"/>
      </w:pPr>
      <w:r>
        <w:rPr>
          <w:sz w:val="20"/>
        </w:rPr>
        <w:t xml:space="preserve">гарантийных организаций</w:t>
      </w:r>
    </w:p>
    <w:p>
      <w:pPr>
        <w:pStyle w:val="0"/>
        <w:jc w:val="both"/>
      </w:pPr>
      <w:r>
        <w:rPr>
          <w:sz w:val="20"/>
        </w:rPr>
      </w:r>
    </w:p>
    <w:bookmarkStart w:id="393" w:name="P393"/>
    <w:bookmarkEnd w:id="393"/>
    <w:p>
      <w:pPr>
        <w:pStyle w:val="2"/>
        <w:jc w:val="center"/>
      </w:pPr>
      <w:r>
        <w:rPr>
          <w:sz w:val="20"/>
        </w:rPr>
        <w:t xml:space="preserve">ПЕРЕЧЕНЬ</w:t>
      </w:r>
    </w:p>
    <w:p>
      <w:pPr>
        <w:pStyle w:val="2"/>
        <w:jc w:val="center"/>
      </w:pPr>
      <w:r>
        <w:rPr>
          <w:sz w:val="20"/>
        </w:rPr>
        <w:t xml:space="preserve">ДОЛЖНОСТНЫХ ЛИЦ, УПОЛНОМОЧЕННЫХ НА ПРОВЕДЕНИЕ ПРОВЕРОК</w:t>
      </w:r>
    </w:p>
    <w:p>
      <w:pPr>
        <w:pStyle w:val="0"/>
        <w:jc w:val="both"/>
      </w:pPr>
      <w:r>
        <w:rPr>
          <w:sz w:val="20"/>
        </w:rPr>
      </w:r>
    </w:p>
    <w:p>
      <w:pPr>
        <w:pStyle w:val="0"/>
        <w:ind w:firstLine="540"/>
        <w:jc w:val="both"/>
      </w:pPr>
      <w:r>
        <w:rPr>
          <w:sz w:val="20"/>
        </w:rPr>
        <w:t xml:space="preserve">1. Руководитель контрольного органа</w:t>
      </w:r>
    </w:p>
    <w:p>
      <w:pPr>
        <w:pStyle w:val="0"/>
        <w:spacing w:before="200" w:line-rule="auto"/>
        <w:ind w:firstLine="540"/>
        <w:jc w:val="both"/>
      </w:pPr>
      <w:r>
        <w:rPr>
          <w:sz w:val="20"/>
        </w:rPr>
        <w:t xml:space="preserve">2. Заместители руководителя контрольного органа</w:t>
      </w:r>
    </w:p>
    <w:p>
      <w:pPr>
        <w:pStyle w:val="0"/>
        <w:spacing w:before="200" w:line-rule="auto"/>
        <w:ind w:firstLine="540"/>
        <w:jc w:val="both"/>
      </w:pPr>
      <w:r>
        <w:rPr>
          <w:sz w:val="20"/>
        </w:rPr>
        <w:t xml:space="preserve">3. Руководители структурных подразделений контрольного органа</w:t>
      </w:r>
    </w:p>
    <w:p>
      <w:pPr>
        <w:pStyle w:val="0"/>
        <w:spacing w:before="200" w:line-rule="auto"/>
        <w:ind w:firstLine="540"/>
        <w:jc w:val="both"/>
      </w:pPr>
      <w:r>
        <w:rPr>
          <w:sz w:val="20"/>
        </w:rPr>
        <w:t xml:space="preserve">4. Заместитель начальника управления контрольного органа</w:t>
      </w:r>
    </w:p>
    <w:p>
      <w:pPr>
        <w:pStyle w:val="0"/>
        <w:spacing w:before="200" w:line-rule="auto"/>
        <w:ind w:firstLine="540"/>
        <w:jc w:val="both"/>
      </w:pPr>
      <w:r>
        <w:rPr>
          <w:sz w:val="20"/>
        </w:rPr>
        <w:t xml:space="preserve">5. Начальник отдела контрольного органа</w:t>
      </w:r>
    </w:p>
    <w:p>
      <w:pPr>
        <w:pStyle w:val="0"/>
        <w:spacing w:before="200" w:line-rule="auto"/>
        <w:ind w:firstLine="540"/>
        <w:jc w:val="both"/>
      </w:pPr>
      <w:r>
        <w:rPr>
          <w:sz w:val="20"/>
        </w:rPr>
        <w:t xml:space="preserve">6. Заместитель начальника отдела контрольного органа</w:t>
      </w:r>
    </w:p>
    <w:p>
      <w:pPr>
        <w:pStyle w:val="0"/>
        <w:spacing w:before="200" w:line-rule="auto"/>
        <w:ind w:firstLine="540"/>
        <w:jc w:val="both"/>
      </w:pPr>
      <w:r>
        <w:rPr>
          <w:sz w:val="20"/>
        </w:rPr>
        <w:t xml:space="preserve">7. Ведущий консультант контрольного органа</w:t>
      </w:r>
    </w:p>
    <w:p>
      <w:pPr>
        <w:pStyle w:val="0"/>
        <w:spacing w:before="200" w:line-rule="auto"/>
        <w:ind w:firstLine="540"/>
        <w:jc w:val="both"/>
      </w:pPr>
      <w:r>
        <w:rPr>
          <w:sz w:val="20"/>
        </w:rPr>
        <w:t xml:space="preserve">8. Консультант контрольного органа</w:t>
      </w:r>
    </w:p>
    <w:p>
      <w:pPr>
        <w:pStyle w:val="0"/>
        <w:spacing w:before="200" w:line-rule="auto"/>
        <w:ind w:firstLine="540"/>
        <w:jc w:val="both"/>
      </w:pPr>
      <w:r>
        <w:rPr>
          <w:sz w:val="20"/>
        </w:rPr>
        <w:t xml:space="preserve">9. Главный государственный инспектор контрольного органа</w:t>
      </w:r>
    </w:p>
    <w:p>
      <w:pPr>
        <w:pStyle w:val="0"/>
        <w:spacing w:before="200" w:line-rule="auto"/>
        <w:ind w:firstLine="540"/>
        <w:jc w:val="both"/>
      </w:pPr>
      <w:r>
        <w:rPr>
          <w:sz w:val="20"/>
        </w:rPr>
        <w:t xml:space="preserve">10. Главный специалист-эксперт контрольного органа</w:t>
      </w:r>
    </w:p>
    <w:p>
      <w:pPr>
        <w:pStyle w:val="0"/>
        <w:spacing w:before="200" w:line-rule="auto"/>
        <w:ind w:firstLine="540"/>
        <w:jc w:val="both"/>
      </w:pPr>
      <w:r>
        <w:rPr>
          <w:sz w:val="20"/>
        </w:rPr>
        <w:t xml:space="preserve">11. Ведущий специалист-эксперт контрольного органа</w:t>
      </w:r>
    </w:p>
    <w:p>
      <w:pPr>
        <w:pStyle w:val="0"/>
        <w:spacing w:before="200" w:line-rule="auto"/>
        <w:ind w:firstLine="540"/>
        <w:jc w:val="both"/>
      </w:pPr>
      <w:r>
        <w:rPr>
          <w:sz w:val="20"/>
        </w:rPr>
        <w:t xml:space="preserve">12. Специалист-эксперт контрольного органа</w:t>
      </w:r>
    </w:p>
    <w:p>
      <w:pPr>
        <w:pStyle w:val="0"/>
        <w:spacing w:before="200" w:line-rule="auto"/>
        <w:ind w:firstLine="540"/>
        <w:jc w:val="both"/>
      </w:pPr>
      <w:r>
        <w:rPr>
          <w:sz w:val="20"/>
        </w:rPr>
        <w:t xml:space="preserve">13. Старший государственный инспектор контрольного органа</w:t>
      </w:r>
    </w:p>
    <w:p>
      <w:pPr>
        <w:pStyle w:val="0"/>
        <w:spacing w:before="200" w:line-rule="auto"/>
        <w:ind w:firstLine="540"/>
        <w:jc w:val="both"/>
      </w:pPr>
      <w:r>
        <w:rPr>
          <w:sz w:val="20"/>
        </w:rPr>
        <w:t xml:space="preserve">14. Государственный инспектор контрольного органа</w:t>
      </w:r>
    </w:p>
    <w:p>
      <w:pPr>
        <w:pStyle w:val="0"/>
        <w:spacing w:before="200" w:line-rule="auto"/>
        <w:ind w:firstLine="540"/>
        <w:jc w:val="both"/>
      </w:pPr>
      <w:r>
        <w:rPr>
          <w:sz w:val="20"/>
        </w:rPr>
        <w:t xml:space="preserve">15. Старший специалист 1 разряда контрольного органа</w:t>
      </w:r>
    </w:p>
    <w:p>
      <w:pPr>
        <w:pStyle w:val="0"/>
        <w:spacing w:before="200" w:line-rule="auto"/>
        <w:ind w:firstLine="540"/>
        <w:jc w:val="both"/>
      </w:pPr>
      <w:r>
        <w:rPr>
          <w:sz w:val="20"/>
        </w:rPr>
        <w:t xml:space="preserve">16. Старший специалист 2 разряда контрольного органа</w:t>
      </w:r>
    </w:p>
    <w:p>
      <w:pPr>
        <w:pStyle w:val="0"/>
        <w:spacing w:before="200" w:line-rule="auto"/>
        <w:ind w:firstLine="540"/>
        <w:jc w:val="both"/>
      </w:pPr>
      <w:r>
        <w:rPr>
          <w:sz w:val="20"/>
        </w:rPr>
        <w:t xml:space="preserve">17. Старший специалист 3 разряда контрольного органа</w:t>
      </w:r>
    </w:p>
    <w:p>
      <w:pPr>
        <w:pStyle w:val="0"/>
        <w:spacing w:before="200" w:line-rule="auto"/>
        <w:ind w:firstLine="540"/>
        <w:jc w:val="both"/>
      </w:pPr>
      <w:r>
        <w:rPr>
          <w:sz w:val="20"/>
        </w:rPr>
        <w:t xml:space="preserve">18. Специалист 1 разряда контрольного органа</w:t>
      </w:r>
    </w:p>
    <w:p>
      <w:pPr>
        <w:pStyle w:val="0"/>
        <w:spacing w:before="200" w:line-rule="auto"/>
        <w:ind w:firstLine="540"/>
        <w:jc w:val="both"/>
      </w:pPr>
      <w:r>
        <w:rPr>
          <w:sz w:val="20"/>
        </w:rPr>
        <w:t xml:space="preserve">19. Специалист 2 разряда контрольного органа</w:t>
      </w:r>
    </w:p>
    <w:p>
      <w:pPr>
        <w:pStyle w:val="0"/>
        <w:spacing w:before="200" w:line-rule="auto"/>
        <w:ind w:firstLine="540"/>
        <w:jc w:val="both"/>
      </w:pPr>
      <w:r>
        <w:rPr>
          <w:sz w:val="20"/>
        </w:rPr>
        <w:t xml:space="preserve">20. Специалист 3 разряда контрольного органа</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 октября 2020 г. N 1576</w:t>
      </w:r>
    </w:p>
    <w:p>
      <w:pPr>
        <w:pStyle w:val="0"/>
        <w:jc w:val="both"/>
      </w:pPr>
      <w:r>
        <w:rPr>
          <w:sz w:val="20"/>
        </w:rPr>
      </w:r>
    </w:p>
    <w:p>
      <w:pPr>
        <w:pStyle w:val="2"/>
        <w:jc w:val="center"/>
      </w:pPr>
      <w:r>
        <w:rPr>
          <w:sz w:val="20"/>
        </w:rPr>
        <w:t xml:space="preserve">ИЗМЕНЕНИЯ,</w:t>
      </w:r>
    </w:p>
    <w:p>
      <w:pPr>
        <w:pStyle w:val="2"/>
        <w:jc w:val="center"/>
      </w:pPr>
      <w:r>
        <w:rPr>
          <w:sz w:val="20"/>
        </w:rPr>
        <w:t xml:space="preserve">КОТОРЫЕ ВНОСЯТСЯ В ПРАВИЛА ВЕДЕНИЯ РЕЕСТРА ЖАЛОБ, ПЛАНОВЫХ</w:t>
      </w:r>
    </w:p>
    <w:p>
      <w:pPr>
        <w:pStyle w:val="2"/>
        <w:jc w:val="center"/>
      </w:pPr>
      <w:r>
        <w:rPr>
          <w:sz w:val="20"/>
        </w:rPr>
        <w:t xml:space="preserve">И ВНЕПЛАНОВЫХ ПРОВЕРОК, ПРИНЯТЫХ ПО НИМ РЕШЕНИЙ И ВЫДАННЫХ</w:t>
      </w:r>
    </w:p>
    <w:p>
      <w:pPr>
        <w:pStyle w:val="2"/>
        <w:jc w:val="center"/>
      </w:pPr>
      <w:r>
        <w:rPr>
          <w:sz w:val="20"/>
        </w:rPr>
        <w:t xml:space="preserve">ПРЕДПИСАНИЙ, ПРЕДСТАВЛЕНИЙ</w:t>
      </w:r>
    </w:p>
    <w:p>
      <w:pPr>
        <w:pStyle w:val="0"/>
        <w:jc w:val="both"/>
      </w:pPr>
      <w:r>
        <w:rPr>
          <w:sz w:val="20"/>
        </w:rPr>
      </w:r>
    </w:p>
    <w:p>
      <w:pPr>
        <w:pStyle w:val="0"/>
        <w:ind w:firstLine="540"/>
        <w:jc w:val="both"/>
      </w:pPr>
      <w:r>
        <w:rPr>
          <w:sz w:val="20"/>
        </w:rPr>
        <w:t xml:space="preserve">Утратили силу. - </w:t>
      </w:r>
      <w:hyperlink w:history="0" r:id="rId68" w:tooltip="Постановление Правительства РФ от 27.01.2022 N 60 (ред. от 16.08.2023)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с изм. и доп., вступ. в силу с 01.01.2024) {КонсультантПлюс}">
        <w:r>
          <w:rPr>
            <w:sz w:val="20"/>
            <w:color w:val="0000ff"/>
          </w:rPr>
          <w:t xml:space="preserve">Постановление</w:t>
        </w:r>
      </w:hyperlink>
      <w:r>
        <w:rPr>
          <w:sz w:val="20"/>
        </w:rPr>
        <w:t xml:space="preserve"> Правительства РФ от 27.01.2022 N 60.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01.10.2020 N 1576</w:t>
            <w:br/>
            <w:t>(ред. от 27.01.2022)</w:t>
            <w:br/>
            <w:t>"Об утверждении Правил осуществления контроля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1553&amp;dst=100005" TargetMode = "External"/>
	<Relationship Id="rId8" Type="http://schemas.openxmlformats.org/officeDocument/2006/relationships/hyperlink" Target="https://login.consultant.ru/link/?req=doc&amp;base=LAW&amp;n=451249&amp;dst=101242" TargetMode = "External"/>
	<Relationship Id="rId9" Type="http://schemas.openxmlformats.org/officeDocument/2006/relationships/hyperlink" Target="https://login.consultant.ru/link/?req=doc&amp;base=LAW&amp;n=465972&amp;dst=1119" TargetMode = "External"/>
	<Relationship Id="rId10" Type="http://schemas.openxmlformats.org/officeDocument/2006/relationships/hyperlink" Target="https://login.consultant.ru/link/?req=doc&amp;base=LAW&amp;n=401553&amp;dst=100010" TargetMode = "External"/>
	<Relationship Id="rId11" Type="http://schemas.openxmlformats.org/officeDocument/2006/relationships/hyperlink" Target="https://login.consultant.ru/link/?req=doc&amp;base=LAW&amp;n=451249&amp;dst=101242" TargetMode = "External"/>
	<Relationship Id="rId12" Type="http://schemas.openxmlformats.org/officeDocument/2006/relationships/hyperlink" Target="https://login.consultant.ru/link/?req=doc&amp;base=LAW&amp;n=401553&amp;dst=100010" TargetMode = "External"/>
	<Relationship Id="rId13" Type="http://schemas.openxmlformats.org/officeDocument/2006/relationships/hyperlink" Target="https://login.consultant.ru/link/?req=doc&amp;base=LAW&amp;n=401553&amp;dst=100011" TargetMode = "External"/>
	<Relationship Id="rId14" Type="http://schemas.openxmlformats.org/officeDocument/2006/relationships/hyperlink" Target="https://login.consultant.ru/link/?req=doc&amp;base=LAW&amp;n=464169" TargetMode = "External"/>
	<Relationship Id="rId15" Type="http://schemas.openxmlformats.org/officeDocument/2006/relationships/hyperlink" Target="https://login.consultant.ru/link/?req=doc&amp;base=LAW&amp;n=465972" TargetMode = "External"/>
	<Relationship Id="rId16" Type="http://schemas.openxmlformats.org/officeDocument/2006/relationships/hyperlink" Target="https://login.consultant.ru/link/?req=doc&amp;base=LAW&amp;n=465972&amp;dst=101378" TargetMode = "External"/>
	<Relationship Id="rId17" Type="http://schemas.openxmlformats.org/officeDocument/2006/relationships/hyperlink" Target="https://login.consultant.ru/link/?req=doc&amp;base=LAW&amp;n=401553&amp;dst=100013" TargetMode = "External"/>
	<Relationship Id="rId18" Type="http://schemas.openxmlformats.org/officeDocument/2006/relationships/hyperlink" Target="https://login.consultant.ru/link/?req=doc&amp;base=LAW&amp;n=454103&amp;dst=100010" TargetMode = "External"/>
	<Relationship Id="rId19" Type="http://schemas.openxmlformats.org/officeDocument/2006/relationships/hyperlink" Target="https://login.consultant.ru/link/?req=doc&amp;base=LAW&amp;n=451249&amp;dst=100464" TargetMode = "External"/>
	<Relationship Id="rId20" Type="http://schemas.openxmlformats.org/officeDocument/2006/relationships/hyperlink" Target="https://login.consultant.ru/link/?req=doc&amp;base=LAW&amp;n=465972&amp;dst=1455" TargetMode = "External"/>
	<Relationship Id="rId21" Type="http://schemas.openxmlformats.org/officeDocument/2006/relationships/hyperlink" Target="https://login.consultant.ru/link/?req=doc&amp;base=LAW&amp;n=451249&amp;dst=100464" TargetMode = "External"/>
	<Relationship Id="rId22" Type="http://schemas.openxmlformats.org/officeDocument/2006/relationships/hyperlink" Target="https://login.consultant.ru/link/?req=doc&amp;base=LAW&amp;n=465972&amp;dst=1455" TargetMode = "External"/>
	<Relationship Id="rId23" Type="http://schemas.openxmlformats.org/officeDocument/2006/relationships/hyperlink" Target="https://login.consultant.ru/link/?req=doc&amp;base=LAW&amp;n=465972&amp;dst=1013" TargetMode = "External"/>
	<Relationship Id="rId24" Type="http://schemas.openxmlformats.org/officeDocument/2006/relationships/hyperlink" Target="https://login.consultant.ru/link/?req=doc&amp;base=LAW&amp;n=465972&amp;dst=101429" TargetMode = "External"/>
	<Relationship Id="rId25" Type="http://schemas.openxmlformats.org/officeDocument/2006/relationships/hyperlink" Target="https://login.consultant.ru/link/?req=doc&amp;base=LAW&amp;n=401553&amp;dst=100016" TargetMode = "External"/>
	<Relationship Id="rId26" Type="http://schemas.openxmlformats.org/officeDocument/2006/relationships/hyperlink" Target="https://login.consultant.ru/link/?req=doc&amp;base=LAW&amp;n=471848" TargetMode = "External"/>
	<Relationship Id="rId27" Type="http://schemas.openxmlformats.org/officeDocument/2006/relationships/hyperlink" Target="https://login.consultant.ru/link/?req=doc&amp;base=LAW&amp;n=465972&amp;dst=352" TargetMode = "External"/>
	<Relationship Id="rId28" Type="http://schemas.openxmlformats.org/officeDocument/2006/relationships/hyperlink" Target="https://login.consultant.ru/link/?req=doc&amp;base=LAW&amp;n=401553&amp;dst=100017" TargetMode = "External"/>
	<Relationship Id="rId29" Type="http://schemas.openxmlformats.org/officeDocument/2006/relationships/hyperlink" Target="https://login.consultant.ru/link/?req=doc&amp;base=LAW&amp;n=465972" TargetMode = "External"/>
	<Relationship Id="rId30" Type="http://schemas.openxmlformats.org/officeDocument/2006/relationships/hyperlink" Target="https://login.consultant.ru/link/?req=doc&amp;base=LAW&amp;n=401553&amp;dst=100019" TargetMode = "External"/>
	<Relationship Id="rId31" Type="http://schemas.openxmlformats.org/officeDocument/2006/relationships/hyperlink" Target="https://login.consultant.ru/link/?req=doc&amp;base=LAW&amp;n=465972" TargetMode = "External"/>
	<Relationship Id="rId32" Type="http://schemas.openxmlformats.org/officeDocument/2006/relationships/hyperlink" Target="https://login.consultant.ru/link/?req=doc&amp;base=LAW&amp;n=465972" TargetMode = "External"/>
	<Relationship Id="rId33" Type="http://schemas.openxmlformats.org/officeDocument/2006/relationships/hyperlink" Target="https://login.consultant.ru/link/?req=doc&amp;base=LAW&amp;n=401553&amp;dst=100020" TargetMode = "External"/>
	<Relationship Id="rId34" Type="http://schemas.openxmlformats.org/officeDocument/2006/relationships/hyperlink" Target="https://login.consultant.ru/link/?req=doc&amp;base=LAW&amp;n=465972" TargetMode = "External"/>
	<Relationship Id="rId35" Type="http://schemas.openxmlformats.org/officeDocument/2006/relationships/hyperlink" Target="https://login.consultant.ru/link/?req=doc&amp;base=LAW&amp;n=401553&amp;dst=100021" TargetMode = "External"/>
	<Relationship Id="rId36" Type="http://schemas.openxmlformats.org/officeDocument/2006/relationships/hyperlink" Target="https://login.consultant.ru/link/?req=doc&amp;base=LAW&amp;n=465972&amp;dst=101540" TargetMode = "External"/>
	<Relationship Id="rId37" Type="http://schemas.openxmlformats.org/officeDocument/2006/relationships/hyperlink" Target="https://login.consultant.ru/link/?req=doc&amp;base=LAW&amp;n=465972&amp;dst=101532" TargetMode = "External"/>
	<Relationship Id="rId38" Type="http://schemas.openxmlformats.org/officeDocument/2006/relationships/hyperlink" Target="https://login.consultant.ru/link/?req=doc&amp;base=LAW&amp;n=465972&amp;dst=101442" TargetMode = "External"/>
	<Relationship Id="rId39" Type="http://schemas.openxmlformats.org/officeDocument/2006/relationships/hyperlink" Target="https://login.consultant.ru/link/?req=doc&amp;base=LAW&amp;n=451249&amp;dst=100464" TargetMode = "External"/>
	<Relationship Id="rId40" Type="http://schemas.openxmlformats.org/officeDocument/2006/relationships/hyperlink" Target="https://login.consultant.ru/link/?req=doc&amp;base=LAW&amp;n=465972&amp;dst=1455" TargetMode = "External"/>
	<Relationship Id="rId41" Type="http://schemas.openxmlformats.org/officeDocument/2006/relationships/hyperlink" Target="https://login.consultant.ru/link/?req=doc&amp;base=LAW&amp;n=454103&amp;dst=100051" TargetMode = "External"/>
	<Relationship Id="rId42" Type="http://schemas.openxmlformats.org/officeDocument/2006/relationships/hyperlink" Target="https://login.consultant.ru/link/?req=doc&amp;base=LAW&amp;n=451249&amp;dst=100464" TargetMode = "External"/>
	<Relationship Id="rId43" Type="http://schemas.openxmlformats.org/officeDocument/2006/relationships/hyperlink" Target="https://login.consultant.ru/link/?req=doc&amp;base=LAW&amp;n=465972&amp;dst=1455" TargetMode = "External"/>
	<Relationship Id="rId44" Type="http://schemas.openxmlformats.org/officeDocument/2006/relationships/hyperlink" Target="https://login.consultant.ru/link/?req=doc&amp;base=LAW&amp;n=451249&amp;dst=100464" TargetMode = "External"/>
	<Relationship Id="rId45" Type="http://schemas.openxmlformats.org/officeDocument/2006/relationships/hyperlink" Target="https://login.consultant.ru/link/?req=doc&amp;base=LAW&amp;n=465972&amp;dst=1455" TargetMode = "External"/>
	<Relationship Id="rId46" Type="http://schemas.openxmlformats.org/officeDocument/2006/relationships/hyperlink" Target="https://login.consultant.ru/link/?req=doc&amp;base=LAW&amp;n=465972" TargetMode = "External"/>
	<Relationship Id="rId47" Type="http://schemas.openxmlformats.org/officeDocument/2006/relationships/hyperlink" Target="https://login.consultant.ru/link/?req=doc&amp;base=LAW&amp;n=401553&amp;dst=100023" TargetMode = "External"/>
	<Relationship Id="rId48" Type="http://schemas.openxmlformats.org/officeDocument/2006/relationships/hyperlink" Target="https://login.consultant.ru/link/?req=doc&amp;base=LAW&amp;n=465972" TargetMode = "External"/>
	<Relationship Id="rId49" Type="http://schemas.openxmlformats.org/officeDocument/2006/relationships/hyperlink" Target="https://login.consultant.ru/link/?req=doc&amp;base=LAW&amp;n=401553&amp;dst=100024" TargetMode = "External"/>
	<Relationship Id="rId50" Type="http://schemas.openxmlformats.org/officeDocument/2006/relationships/hyperlink" Target="https://login.consultant.ru/link/?req=doc&amp;base=LAW&amp;n=451249&amp;dst=100464" TargetMode = "External"/>
	<Relationship Id="rId51" Type="http://schemas.openxmlformats.org/officeDocument/2006/relationships/hyperlink" Target="https://login.consultant.ru/link/?req=doc&amp;base=LAW&amp;n=465972&amp;dst=1455" TargetMode = "External"/>
	<Relationship Id="rId52" Type="http://schemas.openxmlformats.org/officeDocument/2006/relationships/hyperlink" Target="https://login.consultant.ru/link/?req=doc&amp;base=LAW&amp;n=451249&amp;dst=100464" TargetMode = "External"/>
	<Relationship Id="rId53" Type="http://schemas.openxmlformats.org/officeDocument/2006/relationships/hyperlink" Target="https://login.consultant.ru/link/?req=doc&amp;base=LAW&amp;n=465972&amp;dst=1455" TargetMode = "External"/>
	<Relationship Id="rId54" Type="http://schemas.openxmlformats.org/officeDocument/2006/relationships/hyperlink" Target="https://login.consultant.ru/link/?req=doc&amp;base=LAW&amp;n=465972&amp;dst=1022" TargetMode = "External"/>
	<Relationship Id="rId55" Type="http://schemas.openxmlformats.org/officeDocument/2006/relationships/hyperlink" Target="https://login.consultant.ru/link/?req=doc&amp;base=LAW&amp;n=465972&amp;dst=1129" TargetMode = "External"/>
	<Relationship Id="rId56" Type="http://schemas.openxmlformats.org/officeDocument/2006/relationships/hyperlink" Target="https://login.consultant.ru/link/?req=doc&amp;base=LAW&amp;n=465972" TargetMode = "External"/>
	<Relationship Id="rId57" Type="http://schemas.openxmlformats.org/officeDocument/2006/relationships/hyperlink" Target="https://login.consultant.ru/link/?req=doc&amp;base=LAW&amp;n=401553&amp;dst=100027" TargetMode = "External"/>
	<Relationship Id="rId58" Type="http://schemas.openxmlformats.org/officeDocument/2006/relationships/hyperlink" Target="https://login.consultant.ru/link/?req=doc&amp;base=LAW&amp;n=451249&amp;dst=100464" TargetMode = "External"/>
	<Relationship Id="rId59" Type="http://schemas.openxmlformats.org/officeDocument/2006/relationships/hyperlink" Target="https://login.consultant.ru/link/?req=doc&amp;base=LAW&amp;n=465972&amp;dst=1455" TargetMode = "External"/>
	<Relationship Id="rId60" Type="http://schemas.openxmlformats.org/officeDocument/2006/relationships/hyperlink" Target="https://login.consultant.ru/link/?req=doc&amp;base=LAW&amp;n=451249&amp;dst=100464" TargetMode = "External"/>
	<Relationship Id="rId61" Type="http://schemas.openxmlformats.org/officeDocument/2006/relationships/hyperlink" Target="https://login.consultant.ru/link/?req=doc&amp;base=LAW&amp;n=465972&amp;dst=1455" TargetMode = "External"/>
	<Relationship Id="rId62" Type="http://schemas.openxmlformats.org/officeDocument/2006/relationships/hyperlink" Target="https://login.consultant.ru/link/?req=doc&amp;base=LAW&amp;n=451249&amp;dst=100464" TargetMode = "External"/>
	<Relationship Id="rId63" Type="http://schemas.openxmlformats.org/officeDocument/2006/relationships/hyperlink" Target="https://login.consultant.ru/link/?req=doc&amp;base=LAW&amp;n=465972&amp;dst=1455" TargetMode = "External"/>
	<Relationship Id="rId64" Type="http://schemas.openxmlformats.org/officeDocument/2006/relationships/image" Target="media/image2.wmf"/>
	<Relationship Id="rId65" Type="http://schemas.openxmlformats.org/officeDocument/2006/relationships/image" Target="media/image3.wmf"/>
	<Relationship Id="rId66" Type="http://schemas.openxmlformats.org/officeDocument/2006/relationships/image" Target="media/image4.wmf"/>
	<Relationship Id="rId67" Type="http://schemas.openxmlformats.org/officeDocument/2006/relationships/image" Target="media/image5.wmf"/>
	<Relationship Id="rId68" Type="http://schemas.openxmlformats.org/officeDocument/2006/relationships/hyperlink" Target="https://login.consultant.ru/link/?req=doc&amp;base=LAW&amp;n=451249&amp;dst=1012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01.10.2020 N 1576
(ред. от 27.01.2022)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dc:title>
  <dcterms:created xsi:type="dcterms:W3CDTF">2024-06-07T03:16:25Z</dcterms:created>
</cp:coreProperties>
</file>