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6" w:rsidRPr="003B5362" w:rsidRDefault="003B5362" w:rsidP="00E706BB">
      <w:pPr>
        <w:pStyle w:val="aff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5108" cy="562906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1" cy="56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93" w:rsidRPr="003B5362" w:rsidRDefault="004A3F93" w:rsidP="003B5362">
      <w:pPr>
        <w:pStyle w:val="aff"/>
        <w:rPr>
          <w:rFonts w:ascii="Arial" w:hAnsi="Arial" w:cs="Arial"/>
          <w:b/>
          <w:bCs/>
        </w:rPr>
      </w:pPr>
    </w:p>
    <w:p w:rsidR="00474EF6" w:rsidRPr="00E706BB" w:rsidRDefault="004A3F93" w:rsidP="00E706BB">
      <w:pPr>
        <w:pStyle w:val="aff"/>
        <w:jc w:val="center"/>
        <w:rPr>
          <w:rFonts w:ascii="Arial" w:hAnsi="Arial" w:cs="Arial"/>
          <w:b/>
          <w:bCs/>
        </w:rPr>
      </w:pPr>
      <w:r w:rsidRPr="003B5362">
        <w:rPr>
          <w:rFonts w:ascii="Arial" w:hAnsi="Arial" w:cs="Arial"/>
          <w:b/>
          <w:bCs/>
        </w:rPr>
        <w:t xml:space="preserve">АДМИНИСТРАЦИЯ ТАЛЬМЕНСКОГО </w:t>
      </w:r>
      <w:r w:rsidR="00474EF6" w:rsidRPr="003B5362">
        <w:rPr>
          <w:rFonts w:ascii="Arial" w:hAnsi="Arial" w:cs="Arial"/>
          <w:b/>
          <w:bCs/>
        </w:rPr>
        <w:t xml:space="preserve">РАЙОНА </w:t>
      </w:r>
      <w:r w:rsidRPr="003B5362">
        <w:rPr>
          <w:rFonts w:ascii="Arial" w:hAnsi="Arial" w:cs="Arial"/>
          <w:b/>
          <w:bCs/>
        </w:rPr>
        <w:t xml:space="preserve">АЛТАЙСКОГО </w:t>
      </w:r>
      <w:r w:rsidR="00474EF6" w:rsidRPr="003B5362">
        <w:rPr>
          <w:rFonts w:ascii="Arial" w:hAnsi="Arial" w:cs="Arial"/>
          <w:b/>
          <w:bCs/>
        </w:rPr>
        <w:t>КРАЯ</w:t>
      </w:r>
    </w:p>
    <w:p w:rsidR="00474EF6" w:rsidRPr="003B5362" w:rsidRDefault="00474EF6" w:rsidP="003B5362">
      <w:pPr>
        <w:pStyle w:val="aff"/>
        <w:rPr>
          <w:rFonts w:ascii="Arial" w:hAnsi="Arial" w:cs="Arial"/>
          <w:bCs/>
        </w:rPr>
      </w:pPr>
    </w:p>
    <w:p w:rsidR="003364E4" w:rsidRDefault="00817700" w:rsidP="00E706BB">
      <w:pPr>
        <w:pStyle w:val="aff"/>
        <w:jc w:val="center"/>
        <w:rPr>
          <w:rFonts w:ascii="Arial" w:hAnsi="Arial" w:cs="Arial"/>
          <w:b/>
          <w:bCs/>
          <w:spacing w:val="84"/>
        </w:rPr>
      </w:pPr>
      <w:r w:rsidRPr="003B5362">
        <w:rPr>
          <w:rFonts w:ascii="Arial" w:hAnsi="Arial" w:cs="Arial"/>
          <w:b/>
          <w:bCs/>
          <w:spacing w:val="84"/>
        </w:rPr>
        <w:t>ПОСТАНОВЛЕНИЕ</w:t>
      </w:r>
    </w:p>
    <w:p w:rsidR="00E706BB" w:rsidRDefault="00E706BB" w:rsidP="00E706BB">
      <w:pPr>
        <w:pStyle w:val="aff"/>
        <w:jc w:val="center"/>
        <w:rPr>
          <w:rFonts w:ascii="Arial" w:hAnsi="Arial" w:cs="Arial"/>
          <w:b/>
          <w:bCs/>
          <w:spacing w:val="84"/>
        </w:rPr>
      </w:pPr>
    </w:p>
    <w:p w:rsidR="00E706BB" w:rsidRPr="00E706BB" w:rsidRDefault="00E706BB" w:rsidP="00E706BB">
      <w:pPr>
        <w:pStyle w:val="aff"/>
        <w:rPr>
          <w:rFonts w:ascii="Arial" w:hAnsi="Arial" w:cs="Arial"/>
          <w:b/>
          <w:szCs w:val="36"/>
        </w:rPr>
      </w:pPr>
      <w:r w:rsidRPr="00E706BB">
        <w:rPr>
          <w:rFonts w:ascii="Arial" w:hAnsi="Arial" w:cs="Arial"/>
          <w:b/>
        </w:rPr>
        <w:t>02.03.2023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№161</w:t>
      </w:r>
    </w:p>
    <w:tbl>
      <w:tblPr>
        <w:tblW w:w="0" w:type="auto"/>
        <w:tblLook w:val="01E0"/>
      </w:tblPr>
      <w:tblGrid>
        <w:gridCol w:w="9570"/>
      </w:tblGrid>
      <w:tr w:rsidR="00FB6D31" w:rsidRPr="003B5362" w:rsidTr="00FB6D31">
        <w:tc>
          <w:tcPr>
            <w:tcW w:w="9570" w:type="dxa"/>
          </w:tcPr>
          <w:p w:rsidR="00E706BB" w:rsidRDefault="00E706BB" w:rsidP="003B5362">
            <w:pPr>
              <w:pStyle w:val="aff"/>
              <w:rPr>
                <w:rFonts w:ascii="Arial" w:hAnsi="Arial" w:cs="Arial"/>
              </w:rPr>
            </w:pPr>
          </w:p>
          <w:p w:rsidR="00FB6D31" w:rsidRPr="00E706BB" w:rsidRDefault="00E706BB" w:rsidP="00E706BB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E706BB">
              <w:rPr>
                <w:rFonts w:ascii="Arial" w:hAnsi="Arial" w:cs="Arial"/>
                <w:b/>
              </w:rPr>
              <w:t>р</w:t>
            </w:r>
            <w:r w:rsidR="00740AA2" w:rsidRPr="00E706BB">
              <w:rPr>
                <w:rFonts w:ascii="Arial" w:hAnsi="Arial" w:cs="Arial"/>
                <w:b/>
              </w:rPr>
              <w:t>.п.Тальменка</w:t>
            </w:r>
          </w:p>
        </w:tc>
      </w:tr>
    </w:tbl>
    <w:p w:rsidR="00037623" w:rsidRPr="003B5362" w:rsidRDefault="00037623" w:rsidP="003B5362">
      <w:pPr>
        <w:pStyle w:val="aff"/>
        <w:rPr>
          <w:rFonts w:ascii="Arial" w:hAnsi="Arial" w:cs="Arial"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10065"/>
      </w:tblGrid>
      <w:tr w:rsidR="009731D9" w:rsidRPr="003B5362" w:rsidTr="00E706BB">
        <w:tc>
          <w:tcPr>
            <w:tcW w:w="10065" w:type="dxa"/>
            <w:hideMark/>
          </w:tcPr>
          <w:p w:rsidR="009731D9" w:rsidRPr="00E706BB" w:rsidRDefault="009731D9" w:rsidP="00E706BB">
            <w:pPr>
              <w:pStyle w:val="aff"/>
              <w:jc w:val="center"/>
              <w:rPr>
                <w:rFonts w:ascii="Arial" w:hAnsi="Arial" w:cs="Arial"/>
              </w:rPr>
            </w:pPr>
            <w:r w:rsidRPr="00E706BB">
              <w:rPr>
                <w:rStyle w:val="aff1"/>
                <w:rFonts w:ascii="Arial" w:hAnsi="Arial" w:cs="Arial"/>
                <w:color w:val="000000"/>
              </w:rPr>
              <w:t xml:space="preserve">О </w:t>
            </w:r>
            <w:r w:rsidR="00716E14" w:rsidRPr="00E706BB">
              <w:rPr>
                <w:rStyle w:val="aff1"/>
                <w:rFonts w:ascii="Arial" w:hAnsi="Arial" w:cs="Arial"/>
                <w:color w:val="000000"/>
              </w:rPr>
              <w:t>внесении изменений в</w:t>
            </w:r>
            <w:r w:rsidRPr="00E706BB">
              <w:rPr>
                <w:rStyle w:val="aff1"/>
                <w:rFonts w:ascii="Arial" w:hAnsi="Arial" w:cs="Arial"/>
                <w:color w:val="000000"/>
              </w:rPr>
              <w:t xml:space="preserve"> муниципальн</w:t>
            </w:r>
            <w:r w:rsidR="00716E14" w:rsidRPr="00E706BB">
              <w:rPr>
                <w:rStyle w:val="aff1"/>
                <w:rFonts w:ascii="Arial" w:hAnsi="Arial" w:cs="Arial"/>
                <w:color w:val="000000"/>
              </w:rPr>
              <w:t>ую</w:t>
            </w:r>
            <w:r w:rsidRPr="00E706BB">
              <w:rPr>
                <w:rStyle w:val="aff1"/>
                <w:rFonts w:ascii="Arial" w:hAnsi="Arial" w:cs="Arial"/>
                <w:color w:val="000000"/>
              </w:rPr>
              <w:t xml:space="preserve"> программ</w:t>
            </w:r>
            <w:r w:rsidR="007F286F" w:rsidRPr="00E706BB">
              <w:rPr>
                <w:rStyle w:val="aff1"/>
                <w:rFonts w:ascii="Arial" w:hAnsi="Arial" w:cs="Arial"/>
                <w:color w:val="000000"/>
              </w:rPr>
              <w:t xml:space="preserve">у </w:t>
            </w:r>
            <w:r w:rsidRPr="00E706BB">
              <w:rPr>
                <w:rStyle w:val="aff1"/>
                <w:rFonts w:ascii="Arial" w:hAnsi="Arial" w:cs="Arial"/>
                <w:color w:val="000000"/>
              </w:rPr>
              <w:t xml:space="preserve"> </w:t>
            </w:r>
            <w:r w:rsidRPr="00E706BB">
              <w:rPr>
                <w:rFonts w:ascii="Arial" w:hAnsi="Arial" w:cs="Arial"/>
                <w:b/>
              </w:rPr>
              <w:t>«Переселение граждан из ав</w:t>
            </w:r>
            <w:r w:rsidRPr="00E706BB">
              <w:rPr>
                <w:rFonts w:ascii="Arial" w:hAnsi="Arial" w:cs="Arial"/>
                <w:b/>
              </w:rPr>
              <w:t>а</w:t>
            </w:r>
            <w:r w:rsidRPr="00E706BB">
              <w:rPr>
                <w:rFonts w:ascii="Arial" w:hAnsi="Arial" w:cs="Arial"/>
                <w:b/>
              </w:rPr>
              <w:t>рийного жилищного фонда Тальменского района» на 2023–2025 годы</w:t>
            </w:r>
          </w:p>
        </w:tc>
      </w:tr>
    </w:tbl>
    <w:tbl>
      <w:tblPr>
        <w:tblW w:w="10421" w:type="dxa"/>
        <w:tblLayout w:type="fixed"/>
        <w:tblLook w:val="04A0"/>
      </w:tblPr>
      <w:tblGrid>
        <w:gridCol w:w="10421"/>
      </w:tblGrid>
      <w:tr w:rsidR="009731D9" w:rsidRPr="003B5362" w:rsidTr="00E706BB">
        <w:tc>
          <w:tcPr>
            <w:tcW w:w="10421" w:type="dxa"/>
          </w:tcPr>
          <w:p w:rsidR="009731D9" w:rsidRPr="003B5362" w:rsidRDefault="009731D9" w:rsidP="003B5362">
            <w:pPr>
              <w:pStyle w:val="aff"/>
              <w:rPr>
                <w:rFonts w:ascii="Arial" w:hAnsi="Arial" w:cs="Arial"/>
                <w:color w:val="000000"/>
              </w:rPr>
            </w:pPr>
          </w:p>
        </w:tc>
      </w:tr>
    </w:tbl>
    <w:p w:rsidR="009731D9" w:rsidRPr="003B5362" w:rsidRDefault="009731D9" w:rsidP="00E706BB">
      <w:pPr>
        <w:pStyle w:val="aff"/>
        <w:ind w:firstLine="709"/>
        <w:rPr>
          <w:rFonts w:ascii="Arial" w:hAnsi="Arial" w:cs="Arial"/>
        </w:rPr>
      </w:pPr>
      <w:r w:rsidRPr="003B5362">
        <w:rPr>
          <w:rFonts w:ascii="Arial" w:hAnsi="Arial" w:cs="Arial"/>
        </w:rPr>
        <w:t xml:space="preserve">В целях </w:t>
      </w:r>
      <w:r w:rsidR="002C169D" w:rsidRPr="003B5362">
        <w:rPr>
          <w:rFonts w:ascii="Arial" w:hAnsi="Arial" w:cs="Arial"/>
        </w:rPr>
        <w:t>корректировки муниципальной программы «Переселение граждан из ав</w:t>
      </w:r>
      <w:r w:rsidR="002C169D" w:rsidRPr="003B5362">
        <w:rPr>
          <w:rFonts w:ascii="Arial" w:hAnsi="Arial" w:cs="Arial"/>
        </w:rPr>
        <w:t>а</w:t>
      </w:r>
      <w:r w:rsidR="002C169D" w:rsidRPr="003B5362">
        <w:rPr>
          <w:rFonts w:ascii="Arial" w:hAnsi="Arial" w:cs="Arial"/>
        </w:rPr>
        <w:t>рийного жилищного фонда Тальменского района» на 2023–2025 годы, утвержденной постано</w:t>
      </w:r>
      <w:r w:rsidR="002C169D" w:rsidRPr="003B5362">
        <w:rPr>
          <w:rFonts w:ascii="Arial" w:hAnsi="Arial" w:cs="Arial"/>
        </w:rPr>
        <w:t>в</w:t>
      </w:r>
      <w:r w:rsidR="002C169D" w:rsidRPr="003B5362">
        <w:rPr>
          <w:rFonts w:ascii="Arial" w:hAnsi="Arial" w:cs="Arial"/>
        </w:rPr>
        <w:t>лением главы</w:t>
      </w:r>
      <w:r w:rsidR="008413B6" w:rsidRPr="003B5362">
        <w:rPr>
          <w:rFonts w:ascii="Arial" w:hAnsi="Arial" w:cs="Arial"/>
        </w:rPr>
        <w:t xml:space="preserve"> Тальменского</w:t>
      </w:r>
      <w:r w:rsidR="002C169D" w:rsidRPr="003B5362">
        <w:rPr>
          <w:rFonts w:ascii="Arial" w:hAnsi="Arial" w:cs="Arial"/>
        </w:rPr>
        <w:t xml:space="preserve"> района от 29.12.2022 г. № 1114</w:t>
      </w:r>
    </w:p>
    <w:p w:rsidR="009731D9" w:rsidRPr="00E706BB" w:rsidRDefault="00E706BB" w:rsidP="00E706BB">
      <w:pPr>
        <w:pStyle w:val="a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  <w:r w:rsidR="00CC396C" w:rsidRPr="00E706BB">
        <w:rPr>
          <w:rFonts w:ascii="Arial" w:hAnsi="Arial" w:cs="Arial"/>
          <w:color w:val="000000"/>
        </w:rPr>
        <w:t>:</w:t>
      </w:r>
    </w:p>
    <w:p w:rsidR="002D0753" w:rsidRPr="003B5362" w:rsidRDefault="00E706BB" w:rsidP="00E706B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C396C" w:rsidRPr="003B5362">
        <w:rPr>
          <w:rFonts w:ascii="Arial" w:hAnsi="Arial" w:cs="Arial"/>
        </w:rPr>
        <w:t xml:space="preserve">Внести </w:t>
      </w:r>
      <w:r w:rsidR="002D0753" w:rsidRPr="003B5362">
        <w:rPr>
          <w:rFonts w:ascii="Arial" w:hAnsi="Arial" w:cs="Arial"/>
        </w:rPr>
        <w:t xml:space="preserve">в </w:t>
      </w:r>
      <w:r w:rsidR="00976D27" w:rsidRPr="003B5362">
        <w:rPr>
          <w:rFonts w:ascii="Arial" w:hAnsi="Arial" w:cs="Arial"/>
        </w:rPr>
        <w:t xml:space="preserve">муниципальную </w:t>
      </w:r>
      <w:r w:rsidR="002D0753" w:rsidRPr="003B5362">
        <w:rPr>
          <w:rFonts w:ascii="Arial" w:hAnsi="Arial" w:cs="Arial"/>
        </w:rPr>
        <w:t>программу «Переселение граждан из аварийного жилищного фонда Тальменского района» на 2023–2025 годы,</w:t>
      </w:r>
      <w:r w:rsidR="00554E14" w:rsidRPr="003B5362">
        <w:rPr>
          <w:rFonts w:ascii="Arial" w:hAnsi="Arial" w:cs="Arial"/>
        </w:rPr>
        <w:t xml:space="preserve"> </w:t>
      </w:r>
      <w:r w:rsidR="008413B6" w:rsidRPr="003B5362">
        <w:rPr>
          <w:rFonts w:ascii="Arial" w:hAnsi="Arial" w:cs="Arial"/>
        </w:rPr>
        <w:t>утвержденную постановл</w:t>
      </w:r>
      <w:r w:rsidR="008413B6" w:rsidRPr="003B5362">
        <w:rPr>
          <w:rFonts w:ascii="Arial" w:hAnsi="Arial" w:cs="Arial"/>
        </w:rPr>
        <w:t>е</w:t>
      </w:r>
      <w:r w:rsidR="00DC1092" w:rsidRPr="003B5362">
        <w:rPr>
          <w:rFonts w:ascii="Arial" w:hAnsi="Arial" w:cs="Arial"/>
        </w:rPr>
        <w:t>нием главы Та</w:t>
      </w:r>
      <w:r w:rsidR="008413B6" w:rsidRPr="003B5362">
        <w:rPr>
          <w:rFonts w:ascii="Arial" w:hAnsi="Arial" w:cs="Arial"/>
        </w:rPr>
        <w:t>льменского района</w:t>
      </w:r>
      <w:r w:rsidR="00DC1092" w:rsidRPr="003B5362">
        <w:rPr>
          <w:rFonts w:ascii="Arial" w:hAnsi="Arial" w:cs="Arial"/>
        </w:rPr>
        <w:t xml:space="preserve"> от 29.12.2022 г. № 1114 изменения, изложив ее в новой редакции согласно приложению к настоящему постано</w:t>
      </w:r>
      <w:r w:rsidR="00DC1092" w:rsidRPr="003B5362">
        <w:rPr>
          <w:rFonts w:ascii="Arial" w:hAnsi="Arial" w:cs="Arial"/>
        </w:rPr>
        <w:t>в</w:t>
      </w:r>
      <w:r w:rsidR="00DC1092" w:rsidRPr="003B5362">
        <w:rPr>
          <w:rFonts w:ascii="Arial" w:hAnsi="Arial" w:cs="Arial"/>
        </w:rPr>
        <w:t>лению.</w:t>
      </w:r>
    </w:p>
    <w:p w:rsidR="009731D9" w:rsidRPr="003B5362" w:rsidRDefault="009731D9" w:rsidP="003B5362">
      <w:pPr>
        <w:pStyle w:val="aff"/>
        <w:rPr>
          <w:rFonts w:ascii="Arial" w:hAnsi="Arial" w:cs="Arial"/>
        </w:rPr>
      </w:pPr>
      <w:r w:rsidRPr="003B5362">
        <w:rPr>
          <w:rFonts w:ascii="Arial" w:hAnsi="Arial" w:cs="Arial"/>
        </w:rPr>
        <w:tab/>
        <w:t>2. Опубликовать настоящее постановление в установленном п</w:t>
      </w:r>
      <w:r w:rsidRPr="003B5362">
        <w:rPr>
          <w:rFonts w:ascii="Arial" w:hAnsi="Arial" w:cs="Arial"/>
        </w:rPr>
        <w:t>о</w:t>
      </w:r>
      <w:r w:rsidRPr="003B5362">
        <w:rPr>
          <w:rFonts w:ascii="Arial" w:hAnsi="Arial" w:cs="Arial"/>
        </w:rPr>
        <w:t>рядке.</w:t>
      </w:r>
    </w:p>
    <w:p w:rsidR="009731D9" w:rsidRPr="003B5362" w:rsidRDefault="009731D9" w:rsidP="00E706BB">
      <w:pPr>
        <w:pStyle w:val="aff"/>
        <w:ind w:firstLine="709"/>
        <w:rPr>
          <w:rFonts w:ascii="Arial" w:hAnsi="Arial" w:cs="Arial"/>
        </w:rPr>
      </w:pPr>
      <w:r w:rsidRPr="003B5362">
        <w:rPr>
          <w:rFonts w:ascii="Arial" w:hAnsi="Arial" w:cs="Arial"/>
        </w:rPr>
        <w:t>3. Контроль</w:t>
      </w:r>
      <w:r w:rsidR="00522CF2" w:rsidRPr="003B5362">
        <w:rPr>
          <w:rFonts w:ascii="Arial" w:hAnsi="Arial" w:cs="Arial"/>
        </w:rPr>
        <w:t xml:space="preserve"> за </w:t>
      </w:r>
      <w:r w:rsidRPr="003B5362">
        <w:rPr>
          <w:rFonts w:ascii="Arial" w:hAnsi="Arial" w:cs="Arial"/>
        </w:rPr>
        <w:t xml:space="preserve"> исполне</w:t>
      </w:r>
      <w:r w:rsidR="00522CF2" w:rsidRPr="003B5362">
        <w:rPr>
          <w:rFonts w:ascii="Arial" w:hAnsi="Arial" w:cs="Arial"/>
        </w:rPr>
        <w:t xml:space="preserve">нием </w:t>
      </w:r>
      <w:r w:rsidRPr="003B5362">
        <w:rPr>
          <w:rFonts w:ascii="Arial" w:hAnsi="Arial" w:cs="Arial"/>
        </w:rPr>
        <w:t xml:space="preserve"> настоящего по</w:t>
      </w:r>
      <w:r w:rsidR="00A90415" w:rsidRPr="003B5362">
        <w:rPr>
          <w:rFonts w:ascii="Arial" w:hAnsi="Arial" w:cs="Arial"/>
        </w:rPr>
        <w:t xml:space="preserve">становления возложить на </w:t>
      </w:r>
      <w:r w:rsidR="00BC31C5" w:rsidRPr="003B5362">
        <w:rPr>
          <w:rFonts w:ascii="Arial" w:hAnsi="Arial" w:cs="Arial"/>
        </w:rPr>
        <w:t>первого замест</w:t>
      </w:r>
      <w:r w:rsidR="00BC31C5" w:rsidRPr="003B5362">
        <w:rPr>
          <w:rFonts w:ascii="Arial" w:hAnsi="Arial" w:cs="Arial"/>
        </w:rPr>
        <w:t>и</w:t>
      </w:r>
      <w:r w:rsidR="00BC31C5" w:rsidRPr="003B5362">
        <w:rPr>
          <w:rFonts w:ascii="Arial" w:hAnsi="Arial" w:cs="Arial"/>
        </w:rPr>
        <w:t xml:space="preserve">теля главы Администрации Тальменского района по оперативному управлению </w:t>
      </w:r>
      <w:r w:rsidR="00BA0416" w:rsidRPr="003B5362">
        <w:rPr>
          <w:rFonts w:ascii="Arial" w:hAnsi="Arial" w:cs="Arial"/>
        </w:rPr>
        <w:t>Подб</w:t>
      </w:r>
      <w:r w:rsidR="00BA0416" w:rsidRPr="003B5362">
        <w:rPr>
          <w:rFonts w:ascii="Arial" w:hAnsi="Arial" w:cs="Arial"/>
        </w:rPr>
        <w:t>о</w:t>
      </w:r>
      <w:r w:rsidR="00BA0416" w:rsidRPr="003B5362">
        <w:rPr>
          <w:rFonts w:ascii="Arial" w:hAnsi="Arial" w:cs="Arial"/>
        </w:rPr>
        <w:t>лотова С.А.</w:t>
      </w:r>
    </w:p>
    <w:p w:rsidR="009731D9" w:rsidRPr="003B5362" w:rsidRDefault="009731D9" w:rsidP="003B5362">
      <w:pPr>
        <w:pStyle w:val="aff"/>
        <w:rPr>
          <w:rFonts w:ascii="Arial" w:hAnsi="Arial" w:cs="Arial"/>
          <w:color w:val="000000"/>
        </w:rPr>
      </w:pPr>
      <w:r w:rsidRPr="003B5362">
        <w:rPr>
          <w:rFonts w:ascii="Arial" w:hAnsi="Arial" w:cs="Arial"/>
          <w:color w:val="000000"/>
        </w:rPr>
        <w:t>  </w:t>
      </w:r>
    </w:p>
    <w:p w:rsidR="009731D9" w:rsidRPr="003B5362" w:rsidRDefault="009731D9" w:rsidP="003B5362">
      <w:pPr>
        <w:pStyle w:val="aff"/>
        <w:rPr>
          <w:rFonts w:ascii="Arial" w:hAnsi="Arial" w:cs="Arial"/>
          <w:color w:val="000000"/>
        </w:rPr>
      </w:pPr>
    </w:p>
    <w:p w:rsidR="009731D9" w:rsidRPr="003B5362" w:rsidRDefault="009731D9" w:rsidP="003B5362">
      <w:pPr>
        <w:pStyle w:val="aff"/>
        <w:rPr>
          <w:rFonts w:ascii="Arial" w:hAnsi="Arial" w:cs="Arial"/>
          <w:color w:val="000000"/>
        </w:rPr>
      </w:pPr>
      <w:r w:rsidRPr="003B5362">
        <w:rPr>
          <w:rFonts w:ascii="Arial" w:hAnsi="Arial" w:cs="Arial"/>
          <w:color w:val="000000"/>
        </w:rPr>
        <w:t xml:space="preserve">Глава района                                                         </w:t>
      </w:r>
      <w:r w:rsidR="008050BB" w:rsidRPr="003B5362">
        <w:rPr>
          <w:rFonts w:ascii="Arial" w:hAnsi="Arial" w:cs="Arial"/>
          <w:color w:val="000000"/>
        </w:rPr>
        <w:t xml:space="preserve">                         </w:t>
      </w:r>
      <w:r w:rsidRPr="003B5362">
        <w:rPr>
          <w:rFonts w:ascii="Arial" w:hAnsi="Arial" w:cs="Arial"/>
          <w:color w:val="000000"/>
        </w:rPr>
        <w:t xml:space="preserve">  И.А. Щербаков</w:t>
      </w:r>
    </w:p>
    <w:p w:rsidR="009731D9" w:rsidRPr="003B5362" w:rsidRDefault="009731D9" w:rsidP="003B5362">
      <w:pPr>
        <w:pStyle w:val="aff"/>
        <w:rPr>
          <w:rFonts w:ascii="Arial" w:hAnsi="Arial" w:cs="Arial"/>
          <w:color w:val="000000"/>
        </w:rPr>
      </w:pPr>
    </w:p>
    <w:p w:rsidR="009731D9" w:rsidRDefault="009731D9" w:rsidP="003B5362">
      <w:pPr>
        <w:pStyle w:val="aff"/>
        <w:rPr>
          <w:rFonts w:ascii="Arial" w:hAnsi="Arial" w:cs="Arial"/>
          <w:color w:val="000000"/>
        </w:rPr>
      </w:pPr>
    </w:p>
    <w:p w:rsidR="00E706BB" w:rsidRPr="00E706BB" w:rsidRDefault="00E706BB" w:rsidP="00E706BB">
      <w:pPr>
        <w:pStyle w:val="aff"/>
        <w:rPr>
          <w:rFonts w:ascii="Arial" w:hAnsi="Arial" w:cs="Arial"/>
          <w:b/>
        </w:rPr>
      </w:pPr>
      <w:r w:rsidRPr="00E706BB">
        <w:rPr>
          <w:rFonts w:ascii="Arial" w:hAnsi="Arial" w:cs="Arial"/>
        </w:rPr>
        <w:t>Приложение№1</w:t>
      </w:r>
      <w:r>
        <w:rPr>
          <w:rFonts w:ascii="Arial" w:hAnsi="Arial" w:cs="Arial"/>
        </w:rPr>
        <w:t xml:space="preserve"> </w:t>
      </w:r>
      <w:r w:rsidRPr="00E706BB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  <w:r w:rsidRPr="00E706BB">
        <w:rPr>
          <w:rFonts w:ascii="Arial" w:hAnsi="Arial" w:cs="Arial"/>
        </w:rPr>
        <w:t>Администрации Тальменского района</w:t>
      </w:r>
      <w:r>
        <w:rPr>
          <w:rFonts w:ascii="Arial" w:hAnsi="Arial" w:cs="Arial"/>
        </w:rPr>
        <w:t xml:space="preserve"> </w:t>
      </w:r>
      <w:r w:rsidRPr="00E706BB">
        <w:rPr>
          <w:rFonts w:ascii="Arial" w:hAnsi="Arial" w:cs="Arial"/>
        </w:rPr>
        <w:t>от   02.03.2023</w:t>
      </w:r>
      <w:r>
        <w:rPr>
          <w:rFonts w:ascii="Arial" w:hAnsi="Arial" w:cs="Arial"/>
        </w:rPr>
        <w:t xml:space="preserve"> </w:t>
      </w:r>
      <w:r w:rsidRPr="00E706BB">
        <w:rPr>
          <w:rFonts w:ascii="Arial" w:hAnsi="Arial" w:cs="Arial"/>
        </w:rPr>
        <w:t>N 161</w:t>
      </w:r>
      <w:r>
        <w:rPr>
          <w:rFonts w:ascii="Arial" w:hAnsi="Arial" w:cs="Arial"/>
        </w:rPr>
        <w:t xml:space="preserve"> «</w:t>
      </w:r>
      <w:r w:rsidRPr="00E706BB">
        <w:rPr>
          <w:rStyle w:val="aff1"/>
          <w:rFonts w:ascii="Arial" w:hAnsi="Arial" w:cs="Arial"/>
          <w:b w:val="0"/>
          <w:color w:val="000000"/>
        </w:rPr>
        <w:t xml:space="preserve">О внесении изменений в муниципальную программу  </w:t>
      </w:r>
      <w:r w:rsidRPr="00E706BB">
        <w:rPr>
          <w:rFonts w:ascii="Arial" w:hAnsi="Arial" w:cs="Arial"/>
        </w:rPr>
        <w:t>«Переселение граждан из ав</w:t>
      </w:r>
      <w:r w:rsidRPr="00E706BB">
        <w:rPr>
          <w:rFonts w:ascii="Arial" w:hAnsi="Arial" w:cs="Arial"/>
        </w:rPr>
        <w:t>а</w:t>
      </w:r>
      <w:r w:rsidRPr="00E706BB">
        <w:rPr>
          <w:rFonts w:ascii="Arial" w:hAnsi="Arial" w:cs="Arial"/>
        </w:rPr>
        <w:t>рийного жилищного фонда Тальменского района» на 2023–2025 годы»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jc w:val="center"/>
        <w:rPr>
          <w:rFonts w:ascii="Arial" w:hAnsi="Arial" w:cs="Arial"/>
          <w:b/>
        </w:rPr>
      </w:pPr>
      <w:r w:rsidRPr="00E706BB">
        <w:rPr>
          <w:rFonts w:ascii="Arial" w:hAnsi="Arial" w:cs="Arial"/>
          <w:b/>
        </w:rPr>
        <w:t>ПАСПОРТ</w:t>
      </w:r>
    </w:p>
    <w:p w:rsidR="00E706BB" w:rsidRPr="00E706BB" w:rsidRDefault="00E706BB" w:rsidP="00E706BB">
      <w:pPr>
        <w:pStyle w:val="aff"/>
        <w:jc w:val="center"/>
        <w:rPr>
          <w:rFonts w:ascii="Arial" w:hAnsi="Arial" w:cs="Arial"/>
          <w:b/>
        </w:rPr>
      </w:pPr>
      <w:r w:rsidRPr="00E706BB">
        <w:rPr>
          <w:rFonts w:ascii="Arial" w:hAnsi="Arial" w:cs="Arial"/>
          <w:b/>
        </w:rPr>
        <w:t>Муниципальной программы</w:t>
      </w:r>
    </w:p>
    <w:p w:rsidR="00E706BB" w:rsidRPr="00E706BB" w:rsidRDefault="00E706BB" w:rsidP="00E706BB">
      <w:pPr>
        <w:pStyle w:val="aff"/>
        <w:jc w:val="center"/>
        <w:rPr>
          <w:rFonts w:ascii="Arial" w:hAnsi="Arial" w:cs="Arial"/>
          <w:b/>
        </w:rPr>
      </w:pPr>
      <w:r w:rsidRPr="00E706BB">
        <w:rPr>
          <w:rFonts w:ascii="Arial" w:hAnsi="Arial" w:cs="Arial"/>
          <w:b/>
        </w:rPr>
        <w:t>«Переселение граждан из аварийного жилищного фонда Тальменского ра</w:t>
      </w:r>
      <w:r w:rsidRPr="00E706BB">
        <w:rPr>
          <w:rFonts w:ascii="Arial" w:hAnsi="Arial" w:cs="Arial"/>
          <w:b/>
        </w:rPr>
        <w:t>й</w:t>
      </w:r>
      <w:r w:rsidRPr="00E706BB">
        <w:rPr>
          <w:rFonts w:ascii="Arial" w:hAnsi="Arial" w:cs="Arial"/>
          <w:b/>
        </w:rPr>
        <w:t>она»</w:t>
      </w:r>
    </w:p>
    <w:p w:rsidR="00E706BB" w:rsidRPr="00E706BB" w:rsidRDefault="00E706BB" w:rsidP="00E706BB">
      <w:pPr>
        <w:pStyle w:val="aff"/>
        <w:jc w:val="center"/>
        <w:rPr>
          <w:rFonts w:ascii="Arial" w:hAnsi="Arial" w:cs="Arial"/>
        </w:rPr>
      </w:pPr>
      <w:r w:rsidRPr="00E706BB">
        <w:rPr>
          <w:rFonts w:ascii="Arial" w:hAnsi="Arial" w:cs="Arial"/>
          <w:b/>
        </w:rPr>
        <w:t>на 2023–2025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E706BB" w:rsidRPr="00E706BB" w:rsidTr="00C85F8C"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Ответственный исполнитель програ</w:t>
            </w:r>
            <w:r w:rsidRPr="00E706BB">
              <w:rPr>
                <w:rFonts w:ascii="Arial" w:hAnsi="Arial" w:cs="Arial"/>
              </w:rPr>
              <w:t>м</w:t>
            </w:r>
            <w:r w:rsidRPr="00E706BB">
              <w:rPr>
                <w:rFonts w:ascii="Arial" w:hAnsi="Arial" w:cs="Arial"/>
              </w:rPr>
              <w:t>мы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 xml:space="preserve">Администрация Тальменского района отдел капитального строительства </w:t>
            </w:r>
          </w:p>
        </w:tc>
      </w:tr>
      <w:tr w:rsidR="00E706BB" w:rsidRPr="00E706BB" w:rsidTr="00C85F8C"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Соисполнитель пр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отсутствует</w:t>
            </w:r>
          </w:p>
        </w:tc>
      </w:tr>
      <w:tr w:rsidR="00E706BB" w:rsidRPr="00E706BB" w:rsidTr="00C85F8C"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Администрация Тальменского поссов</w:t>
            </w:r>
            <w:r w:rsidRPr="00E706BB">
              <w:rPr>
                <w:rFonts w:ascii="Arial" w:hAnsi="Arial" w:cs="Arial"/>
              </w:rPr>
              <w:t>е</w:t>
            </w:r>
            <w:r w:rsidRPr="00E706BB">
              <w:rPr>
                <w:rFonts w:ascii="Arial" w:hAnsi="Arial" w:cs="Arial"/>
              </w:rPr>
              <w:t>та</w:t>
            </w:r>
          </w:p>
        </w:tc>
      </w:tr>
      <w:tr w:rsidR="00E706BB" w:rsidRPr="00E706BB" w:rsidTr="00C85F8C"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Отсутствуют</w:t>
            </w:r>
          </w:p>
        </w:tc>
      </w:tr>
      <w:tr w:rsidR="00E706BB" w:rsidRPr="00E706BB" w:rsidTr="00C85F8C"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создание безопасных и благоприятных условий проживания граждан путем у</w:t>
            </w:r>
            <w:r w:rsidRPr="00E706BB">
              <w:rPr>
                <w:rFonts w:ascii="Arial" w:hAnsi="Arial" w:cs="Arial"/>
              </w:rPr>
              <w:t>с</w:t>
            </w:r>
            <w:r w:rsidRPr="00E706BB">
              <w:rPr>
                <w:rFonts w:ascii="Arial" w:hAnsi="Arial" w:cs="Arial"/>
              </w:rPr>
              <w:t>тойчивого сокращения непригодного для проживания жилищного фонда Тальменского района;</w:t>
            </w:r>
          </w:p>
        </w:tc>
      </w:tr>
      <w:tr w:rsidR="00E706BB" w:rsidRPr="00E706BB" w:rsidTr="00C85F8C"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Задачи пр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 xml:space="preserve">переселение граждан из многоквартирных </w:t>
            </w:r>
            <w:r w:rsidRPr="00E706BB">
              <w:rPr>
                <w:rFonts w:ascii="Arial" w:hAnsi="Arial" w:cs="Arial"/>
              </w:rPr>
              <w:lastRenderedPageBreak/>
              <w:t>домов, признанных в установленном порядке аварийными и подлежащими сносу до 2023года в связи с физическим износом в процессе эксплу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тации</w:t>
            </w:r>
          </w:p>
        </w:tc>
      </w:tr>
      <w:tr w:rsidR="00E706BB" w:rsidRPr="00E706BB" w:rsidTr="00C85F8C"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lastRenderedPageBreak/>
              <w:t>Целевые индикаторы и показатели пр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граммы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количество переселенных из аварийного ж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лья граждан;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площадь расселенного аварийного ж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лищного фонда</w:t>
            </w:r>
          </w:p>
        </w:tc>
      </w:tr>
      <w:tr w:rsidR="00E706BB" w:rsidRPr="00E706BB" w:rsidTr="00C85F8C">
        <w:trPr>
          <w:trHeight w:val="325"/>
        </w:trPr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Сроки  и этапы реал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зации программы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2023-2025 годы, без деления на этапы</w:t>
            </w:r>
          </w:p>
        </w:tc>
      </w:tr>
      <w:tr w:rsidR="00E706BB" w:rsidRPr="00E706BB" w:rsidTr="00C85F8C">
        <w:trPr>
          <w:trHeight w:val="325"/>
        </w:trPr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Объемы финансирования программы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Общий объем финансирования составляет 80670,8 тыс. рублей, в том числе по г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дам:</w:t>
            </w:r>
            <w:r w:rsidRPr="00E706BB">
              <w:rPr>
                <w:rFonts w:ascii="Arial" w:hAnsi="Arial" w:cs="Arial"/>
              </w:rPr>
              <w:br/>
              <w:t>2023 год - 0 тыс.рублей;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2024 год-59301,5 тыс.рублей;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2025 год -21369,3 тыс.рублей.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Из них: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Общий объем средств федерального бюджета – 0 тыс. 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Из них: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Общий объем средств краевого  бюджета  - 80630,8 тыс. рублей, в том числе по годам: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 год- 0 тыс.рублей;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2024 год-59261,5 тыс.рублей;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2025 год - 21369,3 тыс.рублей;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Общий объем средств местного бюджета –40 тыс. рублей, в том числе по г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дам: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 год - 0 тыс.рублей;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2024 год- 40 тыс.рублей;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2025год - 0  тыс.рублей.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Объемы и источники финансирования подлежат ежегодному уточнению при формировании местного бюджета на соответствующий фина</w:t>
            </w:r>
            <w:r w:rsidRPr="00E706BB">
              <w:rPr>
                <w:rFonts w:ascii="Arial" w:hAnsi="Arial" w:cs="Arial"/>
              </w:rPr>
              <w:t>н</w:t>
            </w:r>
            <w:r w:rsidRPr="00E706BB">
              <w:rPr>
                <w:rFonts w:ascii="Arial" w:hAnsi="Arial" w:cs="Arial"/>
              </w:rPr>
              <w:t>совый год.</w:t>
            </w:r>
          </w:p>
        </w:tc>
      </w:tr>
      <w:tr w:rsidR="00E706BB" w:rsidRPr="00E706BB" w:rsidTr="00C85F8C">
        <w:trPr>
          <w:trHeight w:val="325"/>
        </w:trPr>
        <w:tc>
          <w:tcPr>
            <w:tcW w:w="5068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Ожидаемые результаты программы</w:t>
            </w:r>
          </w:p>
        </w:tc>
        <w:tc>
          <w:tcPr>
            <w:tcW w:w="5069" w:type="dxa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pacing w:val="2"/>
              </w:rPr>
            </w:pPr>
            <w:r w:rsidRPr="00E706BB">
              <w:rPr>
                <w:rFonts w:ascii="Arial" w:hAnsi="Arial" w:cs="Arial"/>
              </w:rPr>
              <w:t>-</w:t>
            </w:r>
            <w:r w:rsidRPr="00E706BB">
              <w:rPr>
                <w:rFonts w:ascii="Arial" w:hAnsi="Arial" w:cs="Arial"/>
                <w:spacing w:val="2"/>
              </w:rPr>
              <w:t xml:space="preserve"> переселение 65 человек из многоквартирных домов, признанных в устано</w:t>
            </w:r>
            <w:r w:rsidRPr="00E706BB">
              <w:rPr>
                <w:rFonts w:ascii="Arial" w:hAnsi="Arial" w:cs="Arial"/>
                <w:spacing w:val="2"/>
              </w:rPr>
              <w:t>в</w:t>
            </w:r>
            <w:r w:rsidRPr="00E706BB">
              <w:rPr>
                <w:rFonts w:ascii="Arial" w:hAnsi="Arial" w:cs="Arial"/>
                <w:spacing w:val="2"/>
              </w:rPr>
              <w:t xml:space="preserve">ленном </w:t>
            </w:r>
            <w:r w:rsidRPr="00E706BB">
              <w:rPr>
                <w:rFonts w:ascii="Arial" w:hAnsi="Arial" w:cs="Arial"/>
                <w:spacing w:val="2"/>
              </w:rPr>
              <w:br/>
              <w:t xml:space="preserve">порядке аварийными и подлежащими сносу расселение 1243,8кв. м аварийного </w:t>
            </w:r>
            <w:r w:rsidRPr="00E706BB">
              <w:rPr>
                <w:rFonts w:ascii="Arial" w:hAnsi="Arial" w:cs="Arial"/>
                <w:spacing w:val="2"/>
              </w:rPr>
              <w:br/>
              <w:t>жилищного фонда</w:t>
            </w:r>
          </w:p>
        </w:tc>
      </w:tr>
    </w:tbl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jc w:val="center"/>
        <w:rPr>
          <w:rFonts w:ascii="Arial" w:hAnsi="Arial" w:cs="Arial"/>
        </w:rPr>
      </w:pPr>
      <w:r w:rsidRPr="00E706BB">
        <w:rPr>
          <w:rFonts w:ascii="Arial" w:hAnsi="Arial" w:cs="Arial"/>
        </w:rPr>
        <w:t>1. Общая характеристика сферы реализации  муниципальной программы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bookmarkStart w:id="0" w:name="sub_1012"/>
      <w:r>
        <w:rPr>
          <w:rFonts w:ascii="Arial" w:hAnsi="Arial" w:cs="Arial"/>
        </w:rPr>
        <w:t>М</w:t>
      </w:r>
      <w:r w:rsidRPr="00E706BB">
        <w:rPr>
          <w:rFonts w:ascii="Arial" w:hAnsi="Arial" w:cs="Arial"/>
        </w:rPr>
        <w:t xml:space="preserve">ногоквартирный жилищный фонд Тальменского района Алтайского края характеризуется большой степенью износа зданий. </w:t>
      </w:r>
      <w:bookmarkEnd w:id="0"/>
      <w:r w:rsidRPr="00E706BB">
        <w:rPr>
          <w:rFonts w:ascii="Arial" w:hAnsi="Arial" w:cs="Arial"/>
        </w:rPr>
        <w:t>При этом по данным монит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ринга технического состояния жилищного фонда значительная его часть не соотве</w:t>
      </w:r>
      <w:r w:rsidRPr="00E706BB">
        <w:rPr>
          <w:rFonts w:ascii="Arial" w:hAnsi="Arial" w:cs="Arial"/>
        </w:rPr>
        <w:t>т</w:t>
      </w:r>
      <w:r w:rsidRPr="00E706BB">
        <w:rPr>
          <w:rFonts w:ascii="Arial" w:hAnsi="Arial" w:cs="Arial"/>
        </w:rPr>
        <w:t>ствует современным требованиям качественных характеристик, техническому содержанию и уровню благоустро</w:t>
      </w:r>
      <w:r w:rsidRPr="00E706BB">
        <w:rPr>
          <w:rFonts w:ascii="Arial" w:hAnsi="Arial" w:cs="Arial"/>
        </w:rPr>
        <w:t>й</w:t>
      </w:r>
      <w:r w:rsidRPr="00E706BB">
        <w:rPr>
          <w:rFonts w:ascii="Arial" w:hAnsi="Arial" w:cs="Arial"/>
        </w:rPr>
        <w:t>ства.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 xml:space="preserve">На Территории Тальменского района до 2023 года признаны аварийными 2 дома: 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-в с. Озерки ул. Комплекс д. 1 20-ти  квартирный дом общей жилой площ</w:t>
      </w:r>
      <w:r w:rsidRPr="00E706BB">
        <w:rPr>
          <w:rFonts w:ascii="Arial" w:hAnsi="Arial" w:cs="Arial"/>
        </w:rPr>
        <w:t>а</w:t>
      </w:r>
      <w:r w:rsidRPr="00E706BB">
        <w:rPr>
          <w:rFonts w:ascii="Arial" w:hAnsi="Arial" w:cs="Arial"/>
        </w:rPr>
        <w:t>дью 741 м2 постановлением Администрации Тальменского района №977 от 02.12.2019 численность проживающих 45;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- в р.п. Тальменка ул. Анисимовская д.1 16-ти квартирный дом общей ж</w:t>
      </w:r>
      <w:r w:rsidRPr="00E706BB">
        <w:rPr>
          <w:rFonts w:ascii="Arial" w:hAnsi="Arial" w:cs="Arial"/>
        </w:rPr>
        <w:t>и</w:t>
      </w:r>
      <w:r w:rsidRPr="00E706BB">
        <w:rPr>
          <w:rFonts w:ascii="Arial" w:hAnsi="Arial" w:cs="Arial"/>
        </w:rPr>
        <w:t xml:space="preserve">лой </w:t>
      </w:r>
      <w:r w:rsidRPr="00E706BB">
        <w:rPr>
          <w:rFonts w:ascii="Arial" w:hAnsi="Arial" w:cs="Arial"/>
        </w:rPr>
        <w:lastRenderedPageBreak/>
        <w:t>площадью 502,8 м2 постановлением Администрации Тальменского района №460 от 06.06.2019 численность проживающих 20.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Неудовлетворительное состояние жилищного фонда района обусловлено неэффективностью системы управления им, недостаточным объемом финансовых ресурсов, направляемых на его содержание и текущий ремонт, отсутствием средств на проведение капитального ремонта многоквартирных д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 xml:space="preserve">мов, высокой степенью износа инженерных сетей. 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  <w:spacing w:val="2"/>
        </w:rPr>
      </w:pPr>
      <w:r w:rsidRPr="00E706BB">
        <w:rPr>
          <w:rFonts w:ascii="Arial" w:hAnsi="Arial" w:cs="Arial"/>
          <w:spacing w:val="2"/>
        </w:rPr>
        <w:t>Его наличие не только ухудшает внешний облик, понижает инвестицио</w:t>
      </w:r>
      <w:r w:rsidRPr="00E706BB">
        <w:rPr>
          <w:rFonts w:ascii="Arial" w:hAnsi="Arial" w:cs="Arial"/>
          <w:spacing w:val="2"/>
        </w:rPr>
        <w:t>н</w:t>
      </w:r>
      <w:r w:rsidRPr="00E706BB">
        <w:rPr>
          <w:rFonts w:ascii="Arial" w:hAnsi="Arial" w:cs="Arial"/>
          <w:spacing w:val="2"/>
        </w:rPr>
        <w:t>ную привлекательность населенных пунктов и сдерживает развитие инфрастру</w:t>
      </w:r>
      <w:r w:rsidRPr="00E706BB">
        <w:rPr>
          <w:rFonts w:ascii="Arial" w:hAnsi="Arial" w:cs="Arial"/>
          <w:spacing w:val="2"/>
        </w:rPr>
        <w:t>к</w:t>
      </w:r>
      <w:r w:rsidRPr="00E706BB">
        <w:rPr>
          <w:rFonts w:ascii="Arial" w:hAnsi="Arial" w:cs="Arial"/>
          <w:spacing w:val="2"/>
        </w:rPr>
        <w:t>туры, но и создает потенциальную угрозу безопасности и комфортности прож</w:t>
      </w:r>
      <w:r w:rsidRPr="00E706BB">
        <w:rPr>
          <w:rFonts w:ascii="Arial" w:hAnsi="Arial" w:cs="Arial"/>
          <w:spacing w:val="2"/>
        </w:rPr>
        <w:t>и</w:t>
      </w:r>
      <w:r w:rsidRPr="00E706BB">
        <w:rPr>
          <w:rFonts w:ascii="Arial" w:hAnsi="Arial" w:cs="Arial"/>
          <w:spacing w:val="2"/>
        </w:rPr>
        <w:t>вания граждан, ухудшает качество предоставляемых коммунальных услуг, повышает соц</w:t>
      </w:r>
      <w:r w:rsidRPr="00E706BB">
        <w:rPr>
          <w:rFonts w:ascii="Arial" w:hAnsi="Arial" w:cs="Arial"/>
          <w:spacing w:val="2"/>
        </w:rPr>
        <w:t>и</w:t>
      </w:r>
      <w:r w:rsidRPr="00E706BB">
        <w:rPr>
          <w:rFonts w:ascii="Arial" w:hAnsi="Arial" w:cs="Arial"/>
          <w:spacing w:val="2"/>
        </w:rPr>
        <w:t>альную напряженность в обществе.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  <w:spacing w:val="2"/>
        </w:rPr>
      </w:pPr>
      <w:r w:rsidRPr="00E706BB">
        <w:rPr>
          <w:rFonts w:ascii="Arial" w:hAnsi="Arial" w:cs="Arial"/>
          <w:spacing w:val="2"/>
        </w:rPr>
        <w:t>Сегодня в условиях рыночной экономики особенно важна социальная направленность предлагаемых мер. Большинство проживающих в аварийных домах граждан не в состоянии в настоящее время самостоятельно пр</w:t>
      </w:r>
      <w:r w:rsidRPr="00E706BB">
        <w:rPr>
          <w:rFonts w:ascii="Arial" w:hAnsi="Arial" w:cs="Arial"/>
          <w:spacing w:val="2"/>
        </w:rPr>
        <w:t>и</w:t>
      </w:r>
      <w:r w:rsidRPr="00E706BB">
        <w:rPr>
          <w:rFonts w:ascii="Arial" w:hAnsi="Arial" w:cs="Arial"/>
          <w:spacing w:val="2"/>
        </w:rPr>
        <w:t>обрести или получить на условиях найма жилье удовлетворительного кач</w:t>
      </w:r>
      <w:r w:rsidRPr="00E706BB">
        <w:rPr>
          <w:rFonts w:ascii="Arial" w:hAnsi="Arial" w:cs="Arial"/>
          <w:spacing w:val="2"/>
        </w:rPr>
        <w:t>е</w:t>
      </w:r>
      <w:r w:rsidRPr="00E706BB">
        <w:rPr>
          <w:rFonts w:ascii="Arial" w:hAnsi="Arial" w:cs="Arial"/>
          <w:spacing w:val="2"/>
        </w:rPr>
        <w:t>ства.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E706BB">
        <w:rPr>
          <w:rFonts w:ascii="Arial" w:hAnsi="Arial" w:cs="Arial"/>
          <w:bCs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</w:t>
      </w:r>
      <w:r w:rsidRPr="00E706BB">
        <w:rPr>
          <w:rFonts w:ascii="Arial" w:hAnsi="Arial" w:cs="Arial"/>
          <w:bCs/>
        </w:rPr>
        <w:t>ь</w:t>
      </w:r>
      <w:r w:rsidRPr="00E706BB">
        <w:rPr>
          <w:rFonts w:ascii="Arial" w:hAnsi="Arial" w:cs="Arial"/>
          <w:bCs/>
        </w:rPr>
        <w:t>ной программы, сроков и этапов ее реализации</w:t>
      </w:r>
    </w:p>
    <w:p w:rsidR="00E706BB" w:rsidRPr="00E706BB" w:rsidRDefault="00E706BB" w:rsidP="00E706BB">
      <w:pPr>
        <w:pStyle w:val="aff"/>
        <w:rPr>
          <w:rFonts w:ascii="Arial" w:hAnsi="Arial" w:cs="Arial"/>
          <w:bCs/>
        </w:rPr>
      </w:pPr>
      <w:r w:rsidRPr="00E706BB">
        <w:rPr>
          <w:rFonts w:ascii="Arial" w:hAnsi="Arial" w:cs="Arial"/>
          <w:bCs/>
        </w:rPr>
        <w:t xml:space="preserve">     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>2.1</w:t>
      </w:r>
      <w:r w:rsidRPr="00E706BB">
        <w:rPr>
          <w:rFonts w:ascii="Arial" w:hAnsi="Arial" w:cs="Arial"/>
          <w:bCs/>
          <w:shd w:val="clear" w:color="auto" w:fill="FFFFFF"/>
        </w:rPr>
        <w:t>. Приоритетные направления реализации муниципальной програ</w:t>
      </w:r>
      <w:r w:rsidRPr="00E706BB">
        <w:rPr>
          <w:rFonts w:ascii="Arial" w:hAnsi="Arial" w:cs="Arial"/>
          <w:bCs/>
          <w:shd w:val="clear" w:color="auto" w:fill="FFFFFF"/>
        </w:rPr>
        <w:t>м</w:t>
      </w:r>
      <w:r w:rsidRPr="00E706BB">
        <w:rPr>
          <w:rFonts w:ascii="Arial" w:hAnsi="Arial" w:cs="Arial"/>
          <w:bCs/>
          <w:shd w:val="clear" w:color="auto" w:fill="FFFFFF"/>
        </w:rPr>
        <w:t>мы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bookmarkStart w:id="1" w:name="sub_1011"/>
      <w:r w:rsidRPr="00E706BB">
        <w:rPr>
          <w:rFonts w:ascii="Arial" w:hAnsi="Arial" w:cs="Arial"/>
        </w:rPr>
        <w:t>Одной из основных целей развития страны, установленной Указом През</w:t>
      </w:r>
      <w:r w:rsidRPr="00E706BB">
        <w:rPr>
          <w:rFonts w:ascii="Arial" w:hAnsi="Arial" w:cs="Arial"/>
        </w:rPr>
        <w:t>и</w:t>
      </w:r>
      <w:r w:rsidRPr="00E706BB">
        <w:rPr>
          <w:rFonts w:ascii="Arial" w:hAnsi="Arial" w:cs="Arial"/>
        </w:rPr>
        <w:t>дента Российской Федерации от 07.05.2018 № 204 «О национальных целях и стр</w:t>
      </w:r>
      <w:r w:rsidRPr="00E706BB">
        <w:rPr>
          <w:rFonts w:ascii="Arial" w:hAnsi="Arial" w:cs="Arial"/>
        </w:rPr>
        <w:t>а</w:t>
      </w:r>
      <w:r w:rsidRPr="00E706BB">
        <w:rPr>
          <w:rFonts w:ascii="Arial" w:hAnsi="Arial" w:cs="Arial"/>
        </w:rPr>
        <w:t>тегических задачах развития Российской Федерации на период до 2024 года», я</w:t>
      </w:r>
      <w:r w:rsidRPr="00E706BB">
        <w:rPr>
          <w:rFonts w:ascii="Arial" w:hAnsi="Arial" w:cs="Arial"/>
        </w:rPr>
        <w:t>в</w:t>
      </w:r>
      <w:r w:rsidRPr="00E706BB">
        <w:rPr>
          <w:rFonts w:ascii="Arial" w:hAnsi="Arial" w:cs="Arial"/>
        </w:rPr>
        <w:t>ляется повышение уровня жизни граждан, создание ко</w:t>
      </w:r>
      <w:r w:rsidRPr="00E706BB">
        <w:rPr>
          <w:rFonts w:ascii="Arial" w:hAnsi="Arial" w:cs="Arial"/>
        </w:rPr>
        <w:t>м</w:t>
      </w:r>
      <w:r w:rsidRPr="00E706BB">
        <w:rPr>
          <w:rFonts w:ascii="Arial" w:hAnsi="Arial" w:cs="Arial"/>
        </w:rPr>
        <w:t>фортных условий для их проживания. Реализация стратегической задачи по обеспечению устойчивого с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кращения непригодного для проживания жилищного фонда позволит осущес</w:t>
      </w:r>
      <w:r w:rsidRPr="00E706BB">
        <w:rPr>
          <w:rFonts w:ascii="Arial" w:hAnsi="Arial" w:cs="Arial"/>
        </w:rPr>
        <w:t>т</w:t>
      </w:r>
      <w:r w:rsidRPr="00E706BB">
        <w:rPr>
          <w:rFonts w:ascii="Arial" w:hAnsi="Arial" w:cs="Arial"/>
        </w:rPr>
        <w:t>вить переселение граждан из многоквартирных домов, признанных в установленном порядке аварийными и подлежащими сносу или реконстру</w:t>
      </w:r>
      <w:r w:rsidRPr="00E706BB">
        <w:rPr>
          <w:rFonts w:ascii="Arial" w:hAnsi="Arial" w:cs="Arial"/>
        </w:rPr>
        <w:t>к</w:t>
      </w:r>
      <w:r w:rsidRPr="00E706BB">
        <w:rPr>
          <w:rFonts w:ascii="Arial" w:hAnsi="Arial" w:cs="Arial"/>
        </w:rPr>
        <w:t>ции.</w:t>
      </w:r>
    </w:p>
    <w:bookmarkEnd w:id="1"/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  <w:spacing w:val="1"/>
          <w:shd w:val="clear" w:color="auto" w:fill="FFFFFF"/>
        </w:rPr>
        <w:t>Для достижения цели, направленной на обеспечение безопасных и благ</w:t>
      </w:r>
      <w:r w:rsidRPr="00E706BB">
        <w:rPr>
          <w:rFonts w:ascii="Arial" w:hAnsi="Arial" w:cs="Arial"/>
          <w:spacing w:val="1"/>
          <w:shd w:val="clear" w:color="auto" w:fill="FFFFFF"/>
        </w:rPr>
        <w:t>о</w:t>
      </w:r>
      <w:r w:rsidRPr="00E706BB">
        <w:rPr>
          <w:rFonts w:ascii="Arial" w:hAnsi="Arial" w:cs="Arial"/>
          <w:spacing w:val="1"/>
          <w:shd w:val="clear" w:color="auto" w:fill="FFFFFF"/>
        </w:rPr>
        <w:t xml:space="preserve">приятных условий проживания граждан, поставленной государством, региональной политикой в сфере жилищно-коммунального хозяйства определен ряд задач, в том числе </w:t>
      </w:r>
      <w:r w:rsidRPr="00E706BB">
        <w:rPr>
          <w:rFonts w:ascii="Arial" w:hAnsi="Arial" w:cs="Arial"/>
        </w:rPr>
        <w:t>мониторинг технического сост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яния жилищного фонда, установление объемов аварийного жилья; формирование и актуализация реестра многокварти</w:t>
      </w:r>
      <w:r w:rsidRPr="00E706BB">
        <w:rPr>
          <w:rFonts w:ascii="Arial" w:hAnsi="Arial" w:cs="Arial"/>
        </w:rPr>
        <w:t>р</w:t>
      </w:r>
      <w:r w:rsidRPr="00E706BB">
        <w:rPr>
          <w:rFonts w:ascii="Arial" w:hAnsi="Arial" w:cs="Arial"/>
        </w:rPr>
        <w:t xml:space="preserve">ных домов, признанных аварийными. 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В настоящее время в Тальменском районе Алтайского края сформирован перечень аварийных многоквартирных домов. По состоянию на 01.10.202022 в него включено 2 многоквартирных дома общей площадью 1243,8 кв. м, в авари</w:t>
      </w:r>
      <w:r w:rsidRPr="00E706BB">
        <w:rPr>
          <w:rFonts w:ascii="Arial" w:hAnsi="Arial" w:cs="Arial"/>
        </w:rPr>
        <w:t>й</w:t>
      </w:r>
      <w:r w:rsidRPr="00E706BB">
        <w:rPr>
          <w:rFonts w:ascii="Arial" w:hAnsi="Arial" w:cs="Arial"/>
        </w:rPr>
        <w:t xml:space="preserve">ном жилье проживает около 65 граждан. 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2.2. Цели и задачи  программы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Целью программы  является создание безопасных и благоприятных условий пр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живания граждан путем устойчивого сокращения непригодного для проживания жилищн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го фонда на территории Тальменского района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Достижение заявленной цели требует решения следующей задачи: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-переселение граждан из многоквартирных домов, признанных в установле</w:t>
      </w:r>
      <w:r w:rsidRPr="00E706BB">
        <w:rPr>
          <w:rFonts w:ascii="Arial" w:hAnsi="Arial" w:cs="Arial"/>
        </w:rPr>
        <w:t>н</w:t>
      </w:r>
      <w:r w:rsidRPr="00E706BB">
        <w:rPr>
          <w:rFonts w:ascii="Arial" w:hAnsi="Arial" w:cs="Arial"/>
        </w:rPr>
        <w:t>ном порядке аварийными и подлежащими сносу до 2023года в связи с физическим и</w:t>
      </w:r>
      <w:r w:rsidRPr="00E706BB">
        <w:rPr>
          <w:rFonts w:ascii="Arial" w:hAnsi="Arial" w:cs="Arial"/>
        </w:rPr>
        <w:t>з</w:t>
      </w:r>
      <w:r w:rsidRPr="00E706BB">
        <w:rPr>
          <w:rFonts w:ascii="Arial" w:hAnsi="Arial" w:cs="Arial"/>
        </w:rPr>
        <w:t>носом в процессе эксплуат</w:t>
      </w:r>
      <w:r w:rsidRPr="00E706BB">
        <w:rPr>
          <w:rFonts w:ascii="Arial" w:hAnsi="Arial" w:cs="Arial"/>
        </w:rPr>
        <w:t>а</w:t>
      </w:r>
      <w:r w:rsidRPr="00E706BB">
        <w:rPr>
          <w:rFonts w:ascii="Arial" w:hAnsi="Arial" w:cs="Arial"/>
        </w:rPr>
        <w:t>ции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2.3. Ожидаемые конечные результаты реализации программы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  <w:spacing w:val="2"/>
        </w:rPr>
      </w:pPr>
      <w:r w:rsidRPr="00E706BB">
        <w:rPr>
          <w:rFonts w:ascii="Arial" w:hAnsi="Arial" w:cs="Arial"/>
        </w:rPr>
        <w:t xml:space="preserve">Реализация программы  будет способствовать достижению следующих </w:t>
      </w:r>
      <w:r w:rsidRPr="00E706BB">
        <w:rPr>
          <w:rFonts w:ascii="Arial" w:hAnsi="Arial" w:cs="Arial"/>
        </w:rPr>
        <w:lastRenderedPageBreak/>
        <w:t>результатов:</w:t>
      </w:r>
      <w:r w:rsidRPr="00E706BB">
        <w:rPr>
          <w:rFonts w:ascii="Arial" w:hAnsi="Arial" w:cs="Arial"/>
        </w:rPr>
        <w:br/>
        <w:t>-</w:t>
      </w:r>
      <w:r w:rsidRPr="00E706BB">
        <w:rPr>
          <w:rFonts w:ascii="Arial" w:hAnsi="Arial" w:cs="Arial"/>
          <w:spacing w:val="2"/>
        </w:rPr>
        <w:t xml:space="preserve"> переселение 65 человек из многоквартирных домов, признанных в установле</w:t>
      </w:r>
      <w:r w:rsidRPr="00E706BB">
        <w:rPr>
          <w:rFonts w:ascii="Arial" w:hAnsi="Arial" w:cs="Arial"/>
          <w:spacing w:val="2"/>
        </w:rPr>
        <w:t>н</w:t>
      </w:r>
      <w:r w:rsidRPr="00E706BB">
        <w:rPr>
          <w:rFonts w:ascii="Arial" w:hAnsi="Arial" w:cs="Arial"/>
          <w:spacing w:val="2"/>
        </w:rPr>
        <w:t>ном порядке аварийными и подлежащими сносу;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  <w:spacing w:val="2"/>
        </w:rPr>
      </w:pPr>
      <w:r w:rsidRPr="00E706BB">
        <w:rPr>
          <w:rFonts w:ascii="Arial" w:hAnsi="Arial" w:cs="Arial"/>
          <w:spacing w:val="2"/>
        </w:rPr>
        <w:t xml:space="preserve">расселение </w:t>
      </w:r>
      <w:r w:rsidRPr="00E706BB">
        <w:rPr>
          <w:rFonts w:ascii="Arial" w:hAnsi="Arial" w:cs="Arial"/>
        </w:rPr>
        <w:t>1243,8 кв. м</w:t>
      </w:r>
      <w:r w:rsidRPr="00E706BB">
        <w:rPr>
          <w:rFonts w:ascii="Arial" w:hAnsi="Arial" w:cs="Arial"/>
          <w:spacing w:val="2"/>
        </w:rPr>
        <w:t xml:space="preserve"> аварийного жилищного фонда.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Планируемые показатели выполнения муниципальной программы по переселению граждан из аварийного жилищного фонда являю</w:t>
      </w:r>
      <w:r w:rsidRPr="00E706BB">
        <w:rPr>
          <w:rFonts w:ascii="Arial" w:hAnsi="Arial" w:cs="Arial"/>
        </w:rPr>
        <w:t>т</w:t>
      </w:r>
      <w:r w:rsidRPr="00E706BB">
        <w:rPr>
          <w:rFonts w:ascii="Arial" w:hAnsi="Arial" w:cs="Arial"/>
        </w:rPr>
        <w:t>ся: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количество переселенных в результате выполнения программы жит</w:t>
      </w:r>
      <w:r w:rsidRPr="00E706BB">
        <w:rPr>
          <w:rFonts w:ascii="Arial" w:hAnsi="Arial" w:cs="Arial"/>
        </w:rPr>
        <w:t>е</w:t>
      </w:r>
      <w:r w:rsidRPr="00E706BB">
        <w:rPr>
          <w:rFonts w:ascii="Arial" w:hAnsi="Arial" w:cs="Arial"/>
        </w:rPr>
        <w:t>лей: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2023год – 0 человек;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2024 год - 45 человек;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2025 год – 20человек;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площадь расселенных жилых помещений: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2023 год –0 кв.м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2024 год - 741кв. м;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2025 год – 502,8  кв. м;</w:t>
      </w:r>
    </w:p>
    <w:p w:rsidR="00E706BB" w:rsidRPr="00E706BB" w:rsidRDefault="00E706BB" w:rsidP="00E706BB">
      <w:pPr>
        <w:pStyle w:val="aff"/>
        <w:rPr>
          <w:rFonts w:ascii="Arial" w:hAnsi="Arial" w:cs="Arial"/>
          <w:spacing w:val="2"/>
        </w:rPr>
      </w:pP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 xml:space="preserve">2.4. Сроки и этапы реализации программы 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 xml:space="preserve">Программа  реализуется в период с 2023 по 2025 годы без деления на этапы. 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Критерии очередности расселения аварийных многоквартирных домов. При формировании перечня многоквартирных домов необходимо учитывать: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дату признания многоквартирного дома аварийным и подлежащим сносу или реконструкции (в первоочередном порядке расселяются многоквартирные дома, дата признания аварийными и подлежащими сносу или реконструкции которых предшествует годам признания аварийными других многоквартирных д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мов);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наличие угрозы обрушения многоквартирного дома (в соответствии с з</w:t>
      </w:r>
      <w:r w:rsidRPr="00E706BB">
        <w:rPr>
          <w:rFonts w:ascii="Arial" w:hAnsi="Arial" w:cs="Arial"/>
        </w:rPr>
        <w:t>а</w:t>
      </w:r>
      <w:r w:rsidRPr="00E706BB">
        <w:rPr>
          <w:rFonts w:ascii="Arial" w:hAnsi="Arial" w:cs="Arial"/>
        </w:rPr>
        <w:t>ключением специализированной организации);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наличие вступившего в законную силу решения суда о переселении граждан из аварийного многоквартирного дома, признанного таковым в установле</w:t>
      </w:r>
      <w:r w:rsidRPr="00E706BB">
        <w:rPr>
          <w:rFonts w:ascii="Arial" w:hAnsi="Arial" w:cs="Arial"/>
        </w:rPr>
        <w:t>н</w:t>
      </w:r>
      <w:r w:rsidRPr="00E706BB">
        <w:rPr>
          <w:rFonts w:ascii="Arial" w:hAnsi="Arial" w:cs="Arial"/>
        </w:rPr>
        <w:t xml:space="preserve">ном порядке. 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jc w:val="center"/>
        <w:rPr>
          <w:rFonts w:ascii="Arial" w:hAnsi="Arial" w:cs="Arial"/>
        </w:rPr>
      </w:pPr>
      <w:r w:rsidRPr="00E706BB">
        <w:rPr>
          <w:rFonts w:ascii="Arial" w:hAnsi="Arial" w:cs="Arial"/>
        </w:rPr>
        <w:t>3. Обобщенная характеристика мероприятий муниципальной программы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Мероприятия программы  приведены в таблице 3 к програ</w:t>
      </w:r>
      <w:r w:rsidRPr="00E706BB">
        <w:rPr>
          <w:rFonts w:ascii="Arial" w:hAnsi="Arial" w:cs="Arial"/>
        </w:rPr>
        <w:t>м</w:t>
      </w:r>
      <w:r w:rsidRPr="00E706BB">
        <w:rPr>
          <w:rFonts w:ascii="Arial" w:hAnsi="Arial" w:cs="Arial"/>
        </w:rPr>
        <w:t>ме.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Реализация мероприятий программы проводится по направлению: выплата лицам, в чьей собственности находятся жилые помещения, вход</w:t>
      </w:r>
      <w:r w:rsidRPr="00E706BB">
        <w:rPr>
          <w:rFonts w:ascii="Arial" w:hAnsi="Arial" w:cs="Arial"/>
        </w:rPr>
        <w:t>я</w:t>
      </w:r>
      <w:r w:rsidRPr="00E706BB">
        <w:rPr>
          <w:rFonts w:ascii="Arial" w:hAnsi="Arial" w:cs="Arial"/>
        </w:rPr>
        <w:t>щие в аварийный жилищный фонд, возмещения за изымаемые жилые помещения, в с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ответствии со статьей 32 Жилищного кодекса Российской Федерации.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706BB">
        <w:rPr>
          <w:rFonts w:ascii="Arial" w:hAnsi="Arial" w:cs="Arial"/>
        </w:rPr>
        <w:t>Общий объем финансовых ресурсов, необходимых для реализации муниципальной программы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Финансирование мероприятий программы  осуществляется за счет средств краевого и местного бюджета.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Общий объем финансирования составляет 80670,8 тыс. рублей, в том числе по г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дам:</w:t>
      </w:r>
      <w:r w:rsidRPr="00E706BB">
        <w:rPr>
          <w:rFonts w:ascii="Arial" w:hAnsi="Arial" w:cs="Arial"/>
        </w:rPr>
        <w:br/>
        <w:t>2023 год – 0 тыс.рублей;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2024 год -59301,5 тыс.рублей;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2025 год- 21369,3 тыс.рублей.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Из них: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Общий объем средств краевого  бюджета  - 80630,8 тыс. рублей, в том числе по годам: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lastRenderedPageBreak/>
        <w:t>2023 год -0 тыс.рублей;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2024 год-59261,5 тыс.рублей;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2025 год- 21369,3 тыс.рублей.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Общий объем средств местного бюджета –40 тыс. рублей, в том числе по г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дам: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2023 год -0 тыс.рублей;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2024 год-40 тыс.рублей;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2025 год – 0 тыс.рублей.</w:t>
      </w:r>
    </w:p>
    <w:p w:rsid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Обоснование объема средств на проведение переселения из аварийных ж</w:t>
      </w:r>
      <w:r w:rsidRPr="00E706BB">
        <w:rPr>
          <w:rFonts w:ascii="Arial" w:hAnsi="Arial" w:cs="Arial"/>
        </w:rPr>
        <w:t>и</w:t>
      </w:r>
      <w:r w:rsidRPr="00E706BB">
        <w:rPr>
          <w:rFonts w:ascii="Arial" w:hAnsi="Arial" w:cs="Arial"/>
        </w:rPr>
        <w:t>лых домов осуществляется исходя из перечня таких домов, площади жилых п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мещений в них, планируемой стоимости одного квадратного метра общей площ</w:t>
      </w:r>
      <w:r w:rsidRPr="00E706BB">
        <w:rPr>
          <w:rFonts w:ascii="Arial" w:hAnsi="Arial" w:cs="Arial"/>
        </w:rPr>
        <w:t>а</w:t>
      </w:r>
      <w:r w:rsidRPr="00E706BB">
        <w:rPr>
          <w:rFonts w:ascii="Arial" w:hAnsi="Arial" w:cs="Arial"/>
        </w:rPr>
        <w:t>ди помещений в аварийных многоквартирных домах, включа</w:t>
      </w:r>
      <w:r w:rsidRPr="00E706BB">
        <w:rPr>
          <w:rFonts w:ascii="Arial" w:hAnsi="Arial" w:cs="Arial"/>
        </w:rPr>
        <w:t>е</w:t>
      </w:r>
      <w:r w:rsidRPr="00E706BB">
        <w:rPr>
          <w:rFonts w:ascii="Arial" w:hAnsi="Arial" w:cs="Arial"/>
        </w:rPr>
        <w:t xml:space="preserve">мых в программу. 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Размер планируемой максимальной стоимости одного квадратного метра общей площади жилых помещений, предоставляемых гражданам для переселения из аварийного жилищного фонда, а также расчета размера возмещения за из</w:t>
      </w:r>
      <w:r w:rsidRPr="00E706BB">
        <w:rPr>
          <w:rFonts w:ascii="Arial" w:hAnsi="Arial" w:cs="Arial"/>
        </w:rPr>
        <w:t>ы</w:t>
      </w:r>
      <w:r w:rsidRPr="00E706BB">
        <w:rPr>
          <w:rFonts w:ascii="Arial" w:hAnsi="Arial" w:cs="Arial"/>
        </w:rPr>
        <w:t>маемое жилое помещение утвержден приказом Минстроя России на соответс</w:t>
      </w:r>
      <w:r w:rsidRPr="00E706BB">
        <w:rPr>
          <w:rFonts w:ascii="Arial" w:hAnsi="Arial" w:cs="Arial"/>
        </w:rPr>
        <w:t>т</w:t>
      </w:r>
      <w:r w:rsidRPr="00E706BB">
        <w:rPr>
          <w:rFonts w:ascii="Arial" w:hAnsi="Arial" w:cs="Arial"/>
        </w:rPr>
        <w:t>вующий квартал года в котором проводится выплата или заключения экспертизы.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Объемы финансирования уточняются ежегодно при формировании бюджета на соответствующий финансовый год.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  <w:r w:rsidRPr="00E706BB">
        <w:rPr>
          <w:rFonts w:ascii="Arial" w:hAnsi="Arial" w:cs="Arial"/>
        </w:rPr>
        <w:br/>
      </w:r>
    </w:p>
    <w:p w:rsidR="00E706BB" w:rsidRPr="00E706BB" w:rsidRDefault="00E706BB" w:rsidP="00E706BB">
      <w:pPr>
        <w:pStyle w:val="aff"/>
        <w:jc w:val="center"/>
        <w:rPr>
          <w:rFonts w:ascii="Arial" w:hAnsi="Arial" w:cs="Arial"/>
        </w:rPr>
      </w:pPr>
      <w:r w:rsidRPr="00E706BB">
        <w:rPr>
          <w:rFonts w:ascii="Arial" w:hAnsi="Arial" w:cs="Arial"/>
        </w:rPr>
        <w:t>5. Анализ рисков реализации муниципальной программы и описание мер управления  рисками реализации муниципальной пр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граммы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На основе анализа мероприятий, предлагаемых для реализации в рамках  программы, в</w:t>
      </w:r>
      <w:r w:rsidRPr="00E706BB">
        <w:rPr>
          <w:rFonts w:ascii="Arial" w:hAnsi="Arial" w:cs="Arial"/>
        </w:rPr>
        <w:t>ы</w:t>
      </w:r>
      <w:r w:rsidRPr="00E706BB">
        <w:rPr>
          <w:rFonts w:ascii="Arial" w:hAnsi="Arial" w:cs="Arial"/>
        </w:rPr>
        <w:t>делены следующие риски: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1) финансовые риски, которые связаны с финансированием  программы в неполном объеме. Данные риски возникают по причине длительного срока реализации  пр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граммы;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3) непредвиденные риски, связанные с кризисными явлениями в экономике района, с пр</w:t>
      </w:r>
      <w:r w:rsidRPr="00E706BB">
        <w:rPr>
          <w:rFonts w:ascii="Arial" w:hAnsi="Arial" w:cs="Arial"/>
        </w:rPr>
        <w:t>и</w:t>
      </w:r>
      <w:r w:rsidRPr="00E706BB">
        <w:rPr>
          <w:rFonts w:ascii="Arial" w:hAnsi="Arial" w:cs="Arial"/>
        </w:rPr>
        <w:t>родными и техногенными катастрофами и катаклизмами, которые могут привести к снижению бюджетных доходов, ухудшению динамики осно</w:t>
      </w:r>
      <w:r w:rsidRPr="00E706BB">
        <w:rPr>
          <w:rFonts w:ascii="Arial" w:hAnsi="Arial" w:cs="Arial"/>
        </w:rPr>
        <w:t>в</w:t>
      </w:r>
      <w:r w:rsidRPr="00E706BB">
        <w:rPr>
          <w:rFonts w:ascii="Arial" w:hAnsi="Arial" w:cs="Arial"/>
        </w:rPr>
        <w:t>ных макроэкономических показателей, в том числе повышению инфляции, снижению темпов экономич</w:t>
      </w:r>
      <w:r w:rsidRPr="00E706BB">
        <w:rPr>
          <w:rFonts w:ascii="Arial" w:hAnsi="Arial" w:cs="Arial"/>
        </w:rPr>
        <w:t>е</w:t>
      </w:r>
      <w:r w:rsidRPr="00E706BB">
        <w:rPr>
          <w:rFonts w:ascii="Arial" w:hAnsi="Arial" w:cs="Arial"/>
        </w:rPr>
        <w:t>ского роста и доходов населения, а также потребовать концентрации средств районного бюджета на преодолении последствий таких к</w:t>
      </w:r>
      <w:r w:rsidRPr="00E706BB">
        <w:rPr>
          <w:rFonts w:ascii="Arial" w:hAnsi="Arial" w:cs="Arial"/>
        </w:rPr>
        <w:t>а</w:t>
      </w:r>
      <w:r w:rsidRPr="00E706BB">
        <w:rPr>
          <w:rFonts w:ascii="Arial" w:hAnsi="Arial" w:cs="Arial"/>
        </w:rPr>
        <w:t>тастроф.</w:t>
      </w:r>
    </w:p>
    <w:p w:rsidR="00E706BB" w:rsidRPr="00E706BB" w:rsidRDefault="00E706BB" w:rsidP="00E706BB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Вышеуказанные риски можно распределить по уровням их влияния на реализацию  пр</w:t>
      </w:r>
      <w:r w:rsidRPr="00E706BB">
        <w:rPr>
          <w:rFonts w:ascii="Arial" w:hAnsi="Arial" w:cs="Arial"/>
        </w:rPr>
        <w:t>о</w:t>
      </w:r>
      <w:r w:rsidRPr="00E706BB">
        <w:rPr>
          <w:rFonts w:ascii="Arial" w:hAnsi="Arial" w:cs="Arial"/>
        </w:rPr>
        <w:t>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1934"/>
        <w:gridCol w:w="4253"/>
      </w:tblGrid>
      <w:tr w:rsidR="00E706BB" w:rsidRPr="00E706BB" w:rsidTr="00E706B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Наименование риска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Уровень вли</w:t>
            </w:r>
            <w:r w:rsidRPr="00E706BB">
              <w:rPr>
                <w:rFonts w:ascii="Arial" w:hAnsi="Arial" w:cs="Arial"/>
              </w:rPr>
              <w:t>я</w:t>
            </w:r>
            <w:r w:rsidRPr="00E706BB">
              <w:rPr>
                <w:rFonts w:ascii="Arial" w:hAnsi="Arial" w:cs="Arial"/>
              </w:rPr>
              <w:t>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Меры по снижению риска</w:t>
            </w:r>
          </w:p>
        </w:tc>
      </w:tr>
      <w:tr w:rsidR="00E706BB" w:rsidRPr="00E706BB" w:rsidTr="00E706B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3</w:t>
            </w:r>
          </w:p>
        </w:tc>
      </w:tr>
      <w:tr w:rsidR="00E706BB" w:rsidRPr="00E706BB" w:rsidTr="00E706B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Финансовые риски: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дефицит средств райо</w:t>
            </w:r>
            <w:r w:rsidRPr="00E706BB">
              <w:rPr>
                <w:rFonts w:ascii="Arial" w:hAnsi="Arial" w:cs="Arial"/>
              </w:rPr>
              <w:t>н</w:t>
            </w:r>
            <w:r w:rsidRPr="00E706BB">
              <w:rPr>
                <w:rFonts w:ascii="Arial" w:hAnsi="Arial" w:cs="Arial"/>
              </w:rPr>
              <w:t>ного бюджета, необходимых на реал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 xml:space="preserve">зацию основных мероприятий  программы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выс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обеспечение сбаланс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рованного распределения ф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нансовых средств по основным мероприят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ям программы в соотве</w:t>
            </w:r>
            <w:r w:rsidRPr="00E706BB">
              <w:rPr>
                <w:rFonts w:ascii="Arial" w:hAnsi="Arial" w:cs="Arial"/>
              </w:rPr>
              <w:t>т</w:t>
            </w:r>
            <w:r w:rsidRPr="00E706BB">
              <w:rPr>
                <w:rFonts w:ascii="Arial" w:hAnsi="Arial" w:cs="Arial"/>
              </w:rPr>
              <w:t>ствии с ожидаемыми конечными р</w:t>
            </w:r>
            <w:r w:rsidRPr="00E706BB">
              <w:rPr>
                <w:rFonts w:ascii="Arial" w:hAnsi="Arial" w:cs="Arial"/>
              </w:rPr>
              <w:t>е</w:t>
            </w:r>
            <w:r w:rsidRPr="00E706BB">
              <w:rPr>
                <w:rFonts w:ascii="Arial" w:hAnsi="Arial" w:cs="Arial"/>
              </w:rPr>
              <w:t>зультатами</w:t>
            </w:r>
          </w:p>
        </w:tc>
      </w:tr>
      <w:tr w:rsidR="00E706BB" w:rsidRPr="00E706BB" w:rsidTr="00E706B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Непредвиденные риски: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резкое ухудшение состо</w:t>
            </w:r>
            <w:r w:rsidRPr="00E706BB">
              <w:rPr>
                <w:rFonts w:ascii="Arial" w:hAnsi="Arial" w:cs="Arial"/>
              </w:rPr>
              <w:t>я</w:t>
            </w:r>
            <w:r w:rsidRPr="00E706BB">
              <w:rPr>
                <w:rFonts w:ascii="Arial" w:hAnsi="Arial" w:cs="Arial"/>
              </w:rPr>
              <w:t xml:space="preserve">ния </w:t>
            </w:r>
            <w:r w:rsidRPr="00E706BB">
              <w:rPr>
                <w:rFonts w:ascii="Arial" w:hAnsi="Arial" w:cs="Arial"/>
              </w:rPr>
              <w:lastRenderedPageBreak/>
              <w:t>экономики вследствие финансового и эконом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ческого кризиса;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природные и техногенные катастрофы и катаклизмы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lastRenderedPageBreak/>
              <w:t>выс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прогнозирование соц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ально-экономического разв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 xml:space="preserve">тия при </w:t>
            </w:r>
            <w:r w:rsidRPr="00E706BB">
              <w:rPr>
                <w:rFonts w:ascii="Arial" w:hAnsi="Arial" w:cs="Arial"/>
              </w:rPr>
              <w:lastRenderedPageBreak/>
              <w:t>непредвиденных ри</w:t>
            </w:r>
            <w:r w:rsidRPr="00E706BB">
              <w:rPr>
                <w:rFonts w:ascii="Arial" w:hAnsi="Arial" w:cs="Arial"/>
              </w:rPr>
              <w:t>с</w:t>
            </w:r>
            <w:r w:rsidRPr="00E706BB">
              <w:rPr>
                <w:rFonts w:ascii="Arial" w:hAnsi="Arial" w:cs="Arial"/>
              </w:rPr>
              <w:t>ках с учетом возможного ухудшения экономической с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туации</w:t>
            </w:r>
          </w:p>
        </w:tc>
      </w:tr>
    </w:tbl>
    <w:p w:rsidR="00E706BB" w:rsidRPr="00E706BB" w:rsidRDefault="00E706BB" w:rsidP="00E13C76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lastRenderedPageBreak/>
        <w:t>Таким образом, из вышеперечисленных рисков наиболее отрицательное влияние на реал</w:t>
      </w:r>
      <w:r w:rsidRPr="00E706BB">
        <w:rPr>
          <w:rFonts w:ascii="Arial" w:hAnsi="Arial" w:cs="Arial"/>
        </w:rPr>
        <w:t>и</w:t>
      </w:r>
      <w:r w:rsidRPr="00E706BB">
        <w:rPr>
          <w:rFonts w:ascii="Arial" w:hAnsi="Arial" w:cs="Arial"/>
        </w:rPr>
        <w:t>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</w:t>
      </w:r>
      <w:r w:rsidRPr="00E706BB">
        <w:rPr>
          <w:rFonts w:ascii="Arial" w:hAnsi="Arial" w:cs="Arial"/>
        </w:rPr>
        <w:t>в</w:t>
      </w:r>
      <w:r w:rsidRPr="00E706BB">
        <w:rPr>
          <w:rFonts w:ascii="Arial" w:hAnsi="Arial" w:cs="Arial"/>
        </w:rPr>
        <w:t>лению финансовыми рисками.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  <w:r w:rsidRPr="00E706BB">
        <w:rPr>
          <w:rFonts w:ascii="Arial" w:hAnsi="Arial" w:cs="Arial"/>
        </w:rPr>
        <w:t xml:space="preserve">         </w:t>
      </w:r>
      <w:r w:rsidR="00E13C76">
        <w:rPr>
          <w:rFonts w:ascii="Arial" w:hAnsi="Arial" w:cs="Arial"/>
        </w:rPr>
        <w:t xml:space="preserve">   </w:t>
      </w:r>
      <w:r w:rsidRPr="00E706BB">
        <w:rPr>
          <w:rFonts w:ascii="Arial" w:hAnsi="Arial" w:cs="Arial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 программы. В рамках управления предусмотрены прогнозирование, р</w:t>
      </w:r>
      <w:r w:rsidRPr="00E706BB">
        <w:rPr>
          <w:rFonts w:ascii="Arial" w:hAnsi="Arial" w:cs="Arial"/>
        </w:rPr>
        <w:t>е</w:t>
      </w:r>
      <w:r w:rsidRPr="00E706BB">
        <w:rPr>
          <w:rFonts w:ascii="Arial" w:hAnsi="Arial" w:cs="Arial"/>
        </w:rPr>
        <w:t>гулирование и координация рисков путем уточнения и внесения необходимых изменений.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13C76">
      <w:pPr>
        <w:pStyle w:val="aff"/>
        <w:jc w:val="center"/>
        <w:rPr>
          <w:rFonts w:ascii="Arial" w:hAnsi="Arial" w:cs="Arial"/>
        </w:rPr>
      </w:pPr>
      <w:r w:rsidRPr="00E706BB">
        <w:rPr>
          <w:rFonts w:ascii="Arial" w:hAnsi="Arial" w:cs="Arial"/>
        </w:rPr>
        <w:t>6. Методика оценки эффективности муниципальной программы</w:t>
      </w:r>
    </w:p>
    <w:p w:rsidR="00E706BB" w:rsidRPr="00E706BB" w:rsidRDefault="00E706BB" w:rsidP="00E13C76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Социальная эффективность реализации программы будет оцениваться до</w:t>
      </w:r>
      <w:r w:rsidRPr="00E706BB">
        <w:rPr>
          <w:rFonts w:ascii="Arial" w:hAnsi="Arial" w:cs="Arial"/>
        </w:rPr>
        <w:t>с</w:t>
      </w:r>
      <w:r w:rsidRPr="00E706BB">
        <w:rPr>
          <w:rFonts w:ascii="Arial" w:hAnsi="Arial" w:cs="Arial"/>
        </w:rPr>
        <w:t xml:space="preserve">тижением основной ее цели – создания безопасных и благоприятных условий проживания граждан. </w:t>
      </w:r>
    </w:p>
    <w:p w:rsidR="00E706BB" w:rsidRPr="00E706BB" w:rsidRDefault="00E706BB" w:rsidP="00E13C76">
      <w:pPr>
        <w:pStyle w:val="aff"/>
        <w:ind w:firstLine="709"/>
        <w:rPr>
          <w:rFonts w:ascii="Arial" w:hAnsi="Arial" w:cs="Arial"/>
        </w:rPr>
      </w:pPr>
      <w:r w:rsidRPr="00E706BB">
        <w:rPr>
          <w:rFonts w:ascii="Arial" w:hAnsi="Arial" w:cs="Arial"/>
        </w:rPr>
        <w:t>Оценка эффективности муниципальной программы осуществляется согла</w:t>
      </w:r>
      <w:r w:rsidRPr="00E706BB">
        <w:rPr>
          <w:rFonts w:ascii="Arial" w:hAnsi="Arial" w:cs="Arial"/>
        </w:rPr>
        <w:t>с</w:t>
      </w:r>
      <w:r w:rsidRPr="00E706BB">
        <w:rPr>
          <w:rFonts w:ascii="Arial" w:hAnsi="Arial" w:cs="Arial"/>
        </w:rPr>
        <w:t>но приложению №2, к порядку разработки, реализации оценки эффективности муниципальных программ, утвержденному Постановлением Администрации Тальменского района от 29.09.2020 №776.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rPr>
          <w:rFonts w:ascii="Arial" w:hAnsi="Arial" w:cs="Arial"/>
        </w:rPr>
      </w:pPr>
      <w:r w:rsidRPr="00E706BB">
        <w:rPr>
          <w:rFonts w:ascii="Arial" w:hAnsi="Arial" w:cs="Arial"/>
        </w:rPr>
        <w:t>Таблица 2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13C76">
        <w:rPr>
          <w:rFonts w:ascii="Arial" w:hAnsi="Arial" w:cs="Arial"/>
          <w:b/>
        </w:rPr>
        <w:t>Сведения об индикаторах муниципальной программы</w:t>
      </w: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13C76">
        <w:rPr>
          <w:rFonts w:ascii="Arial" w:hAnsi="Arial" w:cs="Arial"/>
          <w:b/>
        </w:rPr>
        <w:t>«Переселение граждан из аварийного жилищного фонда Тальменского ра</w:t>
      </w:r>
      <w:r w:rsidRPr="00E13C76">
        <w:rPr>
          <w:rFonts w:ascii="Arial" w:hAnsi="Arial" w:cs="Arial"/>
          <w:b/>
        </w:rPr>
        <w:t>й</w:t>
      </w:r>
      <w:r w:rsidRPr="00E13C76">
        <w:rPr>
          <w:rFonts w:ascii="Arial" w:hAnsi="Arial" w:cs="Arial"/>
          <w:b/>
        </w:rPr>
        <w:t>она»</w:t>
      </w: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13C76">
        <w:rPr>
          <w:rFonts w:ascii="Arial" w:hAnsi="Arial" w:cs="Arial"/>
          <w:b/>
        </w:rPr>
        <w:t>на 2023–2025 годы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3"/>
        <w:gridCol w:w="991"/>
        <w:gridCol w:w="850"/>
        <w:gridCol w:w="993"/>
        <w:gridCol w:w="850"/>
        <w:gridCol w:w="851"/>
        <w:gridCol w:w="850"/>
      </w:tblGrid>
      <w:tr w:rsidR="00E706BB" w:rsidRPr="00E706BB" w:rsidTr="00E13C76">
        <w:trPr>
          <w:trHeight w:val="7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eastAsia="Sylfaen" w:hAnsi="Arial" w:cs="Arial"/>
              </w:rPr>
            </w:pPr>
            <w:r w:rsidRPr="00E706BB">
              <w:rPr>
                <w:rFonts w:ascii="Arial" w:eastAsia="Sylfaen" w:hAnsi="Arial" w:cs="Arial"/>
              </w:rPr>
              <w:t xml:space="preserve">№ </w:t>
            </w:r>
          </w:p>
          <w:p w:rsidR="00E706BB" w:rsidRPr="00E706BB" w:rsidRDefault="00E706BB" w:rsidP="00E706BB">
            <w:pPr>
              <w:pStyle w:val="aff"/>
              <w:rPr>
                <w:rFonts w:ascii="Arial" w:eastAsia="Sylfaen" w:hAnsi="Arial" w:cs="Arial"/>
              </w:rPr>
            </w:pPr>
            <w:r w:rsidRPr="00E706BB">
              <w:rPr>
                <w:rFonts w:ascii="Arial" w:eastAsia="Sylfaen" w:hAnsi="Arial" w:cs="Arial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eastAsia="Sylfaen" w:hAnsi="Arial" w:cs="Arial"/>
              </w:rPr>
            </w:pPr>
            <w:r w:rsidRPr="00E706BB">
              <w:rPr>
                <w:rFonts w:ascii="Arial" w:eastAsia="Sylfaen" w:hAnsi="Arial" w:cs="Arial"/>
              </w:rPr>
              <w:t>Наименование индикатора (показ</w:t>
            </w:r>
            <w:r w:rsidRPr="00E706BB">
              <w:rPr>
                <w:rFonts w:ascii="Arial" w:eastAsia="Sylfaen" w:hAnsi="Arial" w:cs="Arial"/>
              </w:rPr>
              <w:t>а</w:t>
            </w:r>
            <w:r w:rsidRPr="00E706BB">
              <w:rPr>
                <w:rFonts w:ascii="Arial" w:eastAsia="Sylfaen" w:hAnsi="Arial" w:cs="Arial"/>
              </w:rPr>
              <w:t>теля)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eastAsia="Sylfaen" w:hAnsi="Arial" w:cs="Arial"/>
              </w:rPr>
            </w:pPr>
            <w:r w:rsidRPr="00E706BB">
              <w:rPr>
                <w:rFonts w:ascii="Arial" w:eastAsia="Sylfaen" w:hAnsi="Arial" w:cs="Arial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Значения по годам</w:t>
            </w:r>
          </w:p>
        </w:tc>
      </w:tr>
      <w:tr w:rsidR="00E706BB" w:rsidRPr="00E706BB" w:rsidTr="00E13C76">
        <w:trPr>
          <w:trHeight w:val="4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2021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факт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2022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6BB" w:rsidRPr="00E13C76" w:rsidRDefault="00E706BB" w:rsidP="00E13C76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Значение плановых показателей                                    (инд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каторов)</w:t>
            </w:r>
          </w:p>
        </w:tc>
      </w:tr>
      <w:tr w:rsidR="00E706BB" w:rsidRPr="00E706BB" w:rsidTr="00E13C76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6BB" w:rsidRPr="00E13C76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eastAsia="Sylfaen" w:hAnsi="Arial" w:cs="Arial"/>
              </w:rPr>
            </w:pPr>
            <w:r w:rsidRPr="00E706BB">
              <w:rPr>
                <w:rFonts w:ascii="Arial" w:eastAsia="Sylfaen" w:hAnsi="Arial" w:cs="Arial"/>
              </w:rPr>
              <w:t>2025</w:t>
            </w:r>
          </w:p>
        </w:tc>
      </w:tr>
      <w:tr w:rsidR="00E706BB" w:rsidRPr="00E706BB" w:rsidTr="00E13C76">
        <w:trPr>
          <w:trHeight w:val="307"/>
        </w:trPr>
        <w:tc>
          <w:tcPr>
            <w:tcW w:w="534" w:type="dxa"/>
            <w:shd w:val="clear" w:color="auto" w:fill="auto"/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706BB" w:rsidRPr="00E13C76" w:rsidRDefault="00E706BB" w:rsidP="00E13C76">
            <w:pPr>
              <w:pStyle w:val="aff"/>
              <w:jc w:val="center"/>
              <w:rPr>
                <w:rFonts w:ascii="Arial" w:hAnsi="Arial" w:cs="Arial"/>
              </w:rPr>
            </w:pPr>
            <w:r w:rsidRPr="00E13C76">
              <w:rPr>
                <w:rFonts w:ascii="Arial" w:hAnsi="Arial" w:cs="Arial"/>
              </w:rPr>
              <w:t>8</w:t>
            </w:r>
          </w:p>
        </w:tc>
      </w:tr>
      <w:tr w:rsidR="00E706BB" w:rsidRPr="00E706BB" w:rsidTr="00E13C76">
        <w:tc>
          <w:tcPr>
            <w:tcW w:w="5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количество переселенных из аварийного ж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лья граждан</w:t>
            </w:r>
          </w:p>
        </w:tc>
        <w:tc>
          <w:tcPr>
            <w:tcW w:w="991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человек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  <w:tr w:rsidR="00E706BB" w:rsidRPr="00E706BB" w:rsidTr="00E13C76">
        <w:tc>
          <w:tcPr>
            <w:tcW w:w="5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площадь расселенного аварийного ж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лищного фонда</w:t>
            </w:r>
          </w:p>
        </w:tc>
        <w:tc>
          <w:tcPr>
            <w:tcW w:w="991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м.кв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741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502,8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</w:tbl>
    <w:p w:rsidR="00E706BB" w:rsidRPr="00E706BB" w:rsidRDefault="00E706BB" w:rsidP="00E706BB">
      <w:pPr>
        <w:pStyle w:val="aff"/>
        <w:rPr>
          <w:rFonts w:ascii="Arial" w:hAnsi="Arial" w:cs="Arial"/>
        </w:rPr>
      </w:pPr>
      <w:r w:rsidRPr="00E706BB">
        <w:rPr>
          <w:rFonts w:ascii="Arial" w:hAnsi="Arial" w:cs="Arial"/>
        </w:rPr>
        <w:tab/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13C76" w:rsidRDefault="00E706BB" w:rsidP="00E706BB">
      <w:pPr>
        <w:pStyle w:val="aff"/>
        <w:rPr>
          <w:rFonts w:ascii="Arial" w:hAnsi="Arial" w:cs="Arial"/>
        </w:rPr>
      </w:pPr>
      <w:r w:rsidRPr="00E13C76">
        <w:rPr>
          <w:rFonts w:ascii="Arial" w:hAnsi="Arial" w:cs="Arial"/>
        </w:rPr>
        <w:t>Таблица 3</w:t>
      </w: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706BB">
        <w:rPr>
          <w:rFonts w:ascii="Arial" w:hAnsi="Arial" w:cs="Arial"/>
          <w:b/>
        </w:rPr>
        <w:br/>
      </w:r>
      <w:r w:rsidRPr="00E706BB">
        <w:rPr>
          <w:rFonts w:ascii="Arial" w:hAnsi="Arial" w:cs="Arial"/>
          <w:b/>
        </w:rPr>
        <w:br/>
      </w:r>
      <w:r w:rsidRPr="00E13C76">
        <w:rPr>
          <w:rFonts w:ascii="Arial" w:hAnsi="Arial" w:cs="Arial"/>
          <w:b/>
        </w:rPr>
        <w:t>Перечень</w:t>
      </w:r>
    </w:p>
    <w:p w:rsidR="00E706BB" w:rsidRPr="00E706BB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706BB">
        <w:rPr>
          <w:rFonts w:ascii="Arial" w:hAnsi="Arial" w:cs="Arial"/>
          <w:b/>
        </w:rPr>
        <w:t>мероприятий муниципальной программы</w:t>
      </w: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13C76">
        <w:rPr>
          <w:rFonts w:ascii="Arial" w:hAnsi="Arial" w:cs="Arial"/>
          <w:b/>
        </w:rPr>
        <w:t>«Переселение граждан из аварийного жилищного фонда Тальменского ра</w:t>
      </w:r>
      <w:r w:rsidRPr="00E13C76">
        <w:rPr>
          <w:rFonts w:ascii="Arial" w:hAnsi="Arial" w:cs="Arial"/>
          <w:b/>
        </w:rPr>
        <w:t>й</w:t>
      </w:r>
      <w:r w:rsidRPr="00E13C76">
        <w:rPr>
          <w:rFonts w:ascii="Arial" w:hAnsi="Arial" w:cs="Arial"/>
          <w:b/>
        </w:rPr>
        <w:t>она»</w:t>
      </w: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13C76">
        <w:rPr>
          <w:rFonts w:ascii="Arial" w:hAnsi="Arial" w:cs="Arial"/>
          <w:b/>
        </w:rPr>
        <w:t>на 2023–2025 годы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tbl>
      <w:tblPr>
        <w:tblW w:w="111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126"/>
        <w:gridCol w:w="993"/>
        <w:gridCol w:w="1417"/>
        <w:gridCol w:w="936"/>
        <w:gridCol w:w="30"/>
        <w:gridCol w:w="963"/>
        <w:gridCol w:w="906"/>
        <w:gridCol w:w="202"/>
        <w:gridCol w:w="318"/>
        <w:gridCol w:w="472"/>
        <w:gridCol w:w="494"/>
        <w:gridCol w:w="318"/>
        <w:gridCol w:w="605"/>
        <w:gridCol w:w="812"/>
      </w:tblGrid>
      <w:tr w:rsidR="00E706BB" w:rsidRPr="00E706BB" w:rsidTr="00E13C76">
        <w:trPr>
          <w:gridAfter w:val="1"/>
          <w:wAfter w:w="812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№</w:t>
            </w:r>
          </w:p>
          <w:p w:rsidR="00E706BB" w:rsidRPr="00E706BB" w:rsidRDefault="00E706BB" w:rsidP="00E13C76">
            <w:pPr>
              <w:pStyle w:val="aff"/>
              <w:ind w:left="-142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 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Цель, задача, мероприятие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Срок реал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Участники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 xml:space="preserve"> програ</w:t>
            </w:r>
            <w:r w:rsidRPr="00E706BB">
              <w:rPr>
                <w:rFonts w:ascii="Arial" w:hAnsi="Arial" w:cs="Arial"/>
              </w:rPr>
              <w:t>м</w:t>
            </w:r>
            <w:r w:rsidRPr="00E706BB">
              <w:rPr>
                <w:rFonts w:ascii="Arial" w:hAnsi="Arial" w:cs="Arial"/>
              </w:rPr>
              <w:t>мы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Сумма расходов (тыс. рублей)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Источники финансиров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ния</w:t>
            </w:r>
          </w:p>
        </w:tc>
      </w:tr>
      <w:tr w:rsidR="00E706BB" w:rsidRPr="00E706BB" w:rsidTr="00E13C76">
        <w:trPr>
          <w:gridAfter w:val="1"/>
          <w:wAfter w:w="812" w:type="dxa"/>
        </w:trPr>
        <w:tc>
          <w:tcPr>
            <w:tcW w:w="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 г.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2024 г.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2025 г.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  <w:tr w:rsidR="00E706BB" w:rsidRPr="00E706BB" w:rsidTr="00E13C76">
        <w:trPr>
          <w:gridAfter w:val="1"/>
          <w:wAfter w:w="812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7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11</w:t>
            </w:r>
          </w:p>
        </w:tc>
      </w:tr>
      <w:tr w:rsidR="00E706BB" w:rsidRPr="00E706BB" w:rsidTr="00E13C76">
        <w:trPr>
          <w:gridAfter w:val="1"/>
          <w:wAfter w:w="812" w:type="dxa"/>
          <w:trHeight w:val="8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</w:t>
            </w:r>
            <w:r w:rsidR="00E706BB" w:rsidRPr="00E706BB">
              <w:rPr>
                <w:rFonts w:ascii="Arial" w:hAnsi="Arial" w:cs="Arial"/>
              </w:rPr>
              <w:t>: создание безопасных и благоприятных условий проживания граждан путем устойчивого сокращения непригодн</w:t>
            </w:r>
            <w:r w:rsidR="00E706BB" w:rsidRPr="00E706BB">
              <w:rPr>
                <w:rFonts w:ascii="Arial" w:hAnsi="Arial" w:cs="Arial"/>
              </w:rPr>
              <w:t>о</w:t>
            </w:r>
            <w:r w:rsidR="00E706BB" w:rsidRPr="00E706BB">
              <w:rPr>
                <w:rFonts w:ascii="Arial" w:hAnsi="Arial" w:cs="Arial"/>
              </w:rPr>
              <w:t>го для проживания жилищного фонда Тальменского района;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  <w:tr w:rsidR="00E706BB" w:rsidRPr="00E706BB" w:rsidTr="00E13C7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  <w:tr w:rsidR="00E706BB" w:rsidRPr="00E706BB" w:rsidTr="00E13C7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  <w:tr w:rsidR="00E706BB" w:rsidRPr="00E706BB" w:rsidTr="00E13C76">
        <w:trPr>
          <w:gridAfter w:val="1"/>
          <w:wAfter w:w="812" w:type="dxa"/>
        </w:trPr>
        <w:tc>
          <w:tcPr>
            <w:tcW w:w="10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  <w:tr w:rsidR="00E13C76" w:rsidRPr="00E706BB" w:rsidTr="00E13C76">
        <w:trPr>
          <w:gridAfter w:val="1"/>
          <w:wAfter w:w="812" w:type="dxa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1.</w:t>
            </w:r>
            <w:r w:rsidRPr="00E706BB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Задача 1. переселение гра</w:t>
            </w:r>
            <w:r w:rsidRPr="00E706BB">
              <w:rPr>
                <w:rFonts w:ascii="Arial" w:hAnsi="Arial" w:cs="Arial"/>
              </w:rPr>
              <w:t>ж</w:t>
            </w:r>
            <w:r w:rsidRPr="00E706BB">
              <w:rPr>
                <w:rFonts w:ascii="Arial" w:hAnsi="Arial" w:cs="Arial"/>
              </w:rPr>
              <w:t>дан из многоквартирных домов, признанных в уст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новленном порядке аварийными и подл</w:t>
            </w:r>
            <w:r w:rsidRPr="00E706BB">
              <w:rPr>
                <w:rFonts w:ascii="Arial" w:hAnsi="Arial" w:cs="Arial"/>
              </w:rPr>
              <w:t>е</w:t>
            </w:r>
            <w:r w:rsidRPr="00E706BB">
              <w:rPr>
                <w:rFonts w:ascii="Arial" w:hAnsi="Arial" w:cs="Arial"/>
              </w:rPr>
              <w:t>жащими сносу до 2023года в связи с физ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ческим износом в процессе эксплуат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ции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 – 2025 годы</w:t>
            </w:r>
            <w:r w:rsidRPr="00E706BB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59301,5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21369,3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80670,8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всего</w:t>
            </w:r>
          </w:p>
        </w:tc>
      </w:tr>
      <w:tr w:rsidR="00E13C76" w:rsidRPr="00E706BB" w:rsidTr="00E13C76">
        <w:trPr>
          <w:gridAfter w:val="1"/>
          <w:wAfter w:w="812" w:type="dxa"/>
          <w:trHeight w:val="311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  том числе</w:t>
            </w:r>
          </w:p>
        </w:tc>
      </w:tr>
      <w:tr w:rsidR="00E13C76" w:rsidRPr="00E706BB" w:rsidTr="00E13C76">
        <w:trPr>
          <w:gridAfter w:val="1"/>
          <w:wAfter w:w="812" w:type="dxa"/>
          <w:trHeight w:val="78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фед</w:t>
            </w:r>
            <w:r w:rsidRPr="00E706BB">
              <w:rPr>
                <w:rFonts w:ascii="Arial" w:hAnsi="Arial" w:cs="Arial"/>
              </w:rPr>
              <w:t>е</w:t>
            </w:r>
            <w:r w:rsidRPr="00E706BB">
              <w:rPr>
                <w:rFonts w:ascii="Arial" w:hAnsi="Arial" w:cs="Arial"/>
              </w:rPr>
              <w:t>ральный бюджет</w:t>
            </w:r>
          </w:p>
        </w:tc>
      </w:tr>
      <w:tr w:rsidR="00E13C76" w:rsidRPr="00E706BB" w:rsidTr="00E13C76">
        <w:trPr>
          <w:gridAfter w:val="1"/>
          <w:wAfter w:w="812" w:type="dxa"/>
          <w:trHeight w:val="78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59261,5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21369,3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80630,8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кр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ев.бюджет</w:t>
            </w:r>
          </w:p>
        </w:tc>
      </w:tr>
      <w:tr w:rsidR="00E13C76" w:rsidRPr="00E706BB" w:rsidTr="00E13C76">
        <w:trPr>
          <w:gridAfter w:val="1"/>
          <w:wAfter w:w="812" w:type="dxa"/>
          <w:trHeight w:val="764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40,0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0,0</w:t>
            </w:r>
          </w:p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40,0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местный бюджет</w:t>
            </w:r>
          </w:p>
        </w:tc>
      </w:tr>
      <w:tr w:rsidR="00E13C76" w:rsidRPr="00E706BB" w:rsidTr="00E13C76">
        <w:trPr>
          <w:gridAfter w:val="1"/>
          <w:wAfter w:w="812" w:type="dxa"/>
          <w:trHeight w:val="780"/>
        </w:trPr>
        <w:tc>
          <w:tcPr>
            <w:tcW w:w="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внебюдже</w:t>
            </w:r>
            <w:r w:rsidRPr="00E706BB">
              <w:rPr>
                <w:rFonts w:ascii="Arial" w:hAnsi="Arial" w:cs="Arial"/>
              </w:rPr>
              <w:t>т</w:t>
            </w:r>
            <w:r w:rsidRPr="00E706BB">
              <w:rPr>
                <w:rFonts w:ascii="Arial" w:hAnsi="Arial" w:cs="Arial"/>
              </w:rPr>
              <w:t>ные источн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ки</w:t>
            </w:r>
          </w:p>
        </w:tc>
      </w:tr>
      <w:tr w:rsidR="00E706BB" w:rsidRPr="00E706BB" w:rsidTr="00E13C76">
        <w:trPr>
          <w:gridAfter w:val="1"/>
          <w:wAfter w:w="812" w:type="dxa"/>
          <w:trHeight w:val="48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2.</w:t>
            </w:r>
            <w:r w:rsidRPr="00E706BB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Мероприятие 1.1. Заключение д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говоров на определение выкупной рыночной стоимости квартир в многоквартирном доме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2023 - 2027 годы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Администрация ра</w:t>
            </w:r>
            <w:r w:rsidRPr="00E706BB">
              <w:rPr>
                <w:rFonts w:ascii="Arial" w:hAnsi="Arial" w:cs="Arial"/>
              </w:rPr>
              <w:t>й</w:t>
            </w:r>
            <w:r w:rsidRPr="00E706BB">
              <w:rPr>
                <w:rFonts w:ascii="Arial" w:hAnsi="Arial" w:cs="Arial"/>
              </w:rPr>
              <w:t>она ,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0,0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всего</w:t>
            </w:r>
          </w:p>
        </w:tc>
      </w:tr>
      <w:tr w:rsidR="00E706BB" w:rsidRPr="00E706BB" w:rsidTr="00E13C76">
        <w:trPr>
          <w:gridAfter w:val="1"/>
          <w:wAfter w:w="812" w:type="dxa"/>
          <w:trHeight w:val="535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  том числе</w:t>
            </w:r>
          </w:p>
        </w:tc>
      </w:tr>
      <w:tr w:rsidR="00E706BB" w:rsidRPr="00E706BB" w:rsidTr="00E13C76">
        <w:trPr>
          <w:gridAfter w:val="1"/>
          <w:wAfter w:w="812" w:type="dxa"/>
          <w:trHeight w:val="849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фед</w:t>
            </w:r>
            <w:r w:rsidRPr="00E706BB">
              <w:rPr>
                <w:rFonts w:ascii="Arial" w:hAnsi="Arial" w:cs="Arial"/>
              </w:rPr>
              <w:t>е</w:t>
            </w:r>
            <w:r w:rsidRPr="00E706BB">
              <w:rPr>
                <w:rFonts w:ascii="Arial" w:hAnsi="Arial" w:cs="Arial"/>
              </w:rPr>
              <w:t>ральный бюджет</w:t>
            </w:r>
          </w:p>
        </w:tc>
      </w:tr>
      <w:tr w:rsidR="00E706BB" w:rsidRPr="00E706BB" w:rsidTr="00E13C76">
        <w:trPr>
          <w:gridAfter w:val="1"/>
          <w:wAfter w:w="812" w:type="dxa"/>
          <w:trHeight w:val="664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кр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ев.бюджет</w:t>
            </w:r>
          </w:p>
        </w:tc>
      </w:tr>
      <w:tr w:rsidR="00E706BB" w:rsidRPr="00E706BB" w:rsidTr="00E13C76">
        <w:trPr>
          <w:gridAfter w:val="1"/>
          <w:wAfter w:w="812" w:type="dxa"/>
          <w:trHeight w:val="715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0,0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Местный бюджет</w:t>
            </w:r>
          </w:p>
        </w:tc>
      </w:tr>
      <w:tr w:rsidR="00E706BB" w:rsidRPr="00E706BB" w:rsidTr="00E13C76">
        <w:trPr>
          <w:gridAfter w:val="1"/>
          <w:wAfter w:w="812" w:type="dxa"/>
          <w:trHeight w:val="854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внебюдже</w:t>
            </w:r>
            <w:r w:rsidRPr="00E706BB">
              <w:rPr>
                <w:rFonts w:ascii="Arial" w:hAnsi="Arial" w:cs="Arial"/>
              </w:rPr>
              <w:t>т</w:t>
            </w:r>
            <w:r w:rsidRPr="00E706BB">
              <w:rPr>
                <w:rFonts w:ascii="Arial" w:hAnsi="Arial" w:cs="Arial"/>
              </w:rPr>
              <w:t>ные источн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ки</w:t>
            </w:r>
          </w:p>
        </w:tc>
      </w:tr>
      <w:tr w:rsidR="00E706BB" w:rsidRPr="00E706BB" w:rsidTr="00E13C76">
        <w:trPr>
          <w:gridAfter w:val="1"/>
          <w:wAfter w:w="812" w:type="dxa"/>
          <w:trHeight w:val="452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3.</w:t>
            </w:r>
            <w:r w:rsidRPr="00E706BB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 xml:space="preserve">Мероприятие 1.2. Заключение </w:t>
            </w:r>
            <w:r w:rsidRPr="00E706BB">
              <w:rPr>
                <w:rFonts w:ascii="Arial" w:hAnsi="Arial" w:cs="Arial"/>
              </w:rPr>
              <w:lastRenderedPageBreak/>
              <w:t>д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говоров на кадастровые работы по формированию земельных учас</w:t>
            </w:r>
            <w:r w:rsidRPr="00E706BB">
              <w:rPr>
                <w:rFonts w:ascii="Arial" w:hAnsi="Arial" w:cs="Arial"/>
              </w:rPr>
              <w:t>т</w:t>
            </w:r>
            <w:r w:rsidRPr="00E706BB">
              <w:rPr>
                <w:rFonts w:ascii="Arial" w:hAnsi="Arial" w:cs="Arial"/>
              </w:rPr>
              <w:t>ков под многоквартирными дом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ми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lastRenderedPageBreak/>
              <w:t>2023 - 2027 годы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Администрация Тальменс</w:t>
            </w:r>
            <w:r w:rsidRPr="00E706BB">
              <w:rPr>
                <w:rFonts w:ascii="Arial" w:hAnsi="Arial" w:cs="Arial"/>
              </w:rPr>
              <w:lastRenderedPageBreak/>
              <w:t>кого ра</w:t>
            </w:r>
            <w:r w:rsidRPr="00E706BB">
              <w:rPr>
                <w:rFonts w:ascii="Arial" w:hAnsi="Arial" w:cs="Arial"/>
              </w:rPr>
              <w:t>й</w:t>
            </w:r>
            <w:r w:rsidRPr="00E706BB">
              <w:rPr>
                <w:rFonts w:ascii="Arial" w:hAnsi="Arial" w:cs="Arial"/>
              </w:rPr>
              <w:t>она, Администрация Тальменского по</w:t>
            </w:r>
            <w:r w:rsidRPr="00E706BB">
              <w:rPr>
                <w:rFonts w:ascii="Arial" w:hAnsi="Arial" w:cs="Arial"/>
              </w:rPr>
              <w:t>с</w:t>
            </w:r>
            <w:r w:rsidRPr="00E706BB">
              <w:rPr>
                <w:rFonts w:ascii="Arial" w:hAnsi="Arial" w:cs="Arial"/>
              </w:rPr>
              <w:t>совета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30,0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всего</w:t>
            </w:r>
          </w:p>
        </w:tc>
      </w:tr>
      <w:tr w:rsidR="00E706BB" w:rsidRPr="00E706BB" w:rsidTr="00E13C76">
        <w:trPr>
          <w:gridAfter w:val="1"/>
          <w:wAfter w:w="812" w:type="dxa"/>
          <w:trHeight w:val="335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  том числе</w:t>
            </w:r>
          </w:p>
        </w:tc>
      </w:tr>
      <w:tr w:rsidR="00E706BB" w:rsidRPr="00E706BB" w:rsidTr="00E13C76">
        <w:trPr>
          <w:gridAfter w:val="1"/>
          <w:wAfter w:w="812" w:type="dxa"/>
          <w:trHeight w:val="469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фед</w:t>
            </w:r>
            <w:r w:rsidRPr="00E706BB">
              <w:rPr>
                <w:rFonts w:ascii="Arial" w:hAnsi="Arial" w:cs="Arial"/>
              </w:rPr>
              <w:t>е</w:t>
            </w:r>
            <w:r w:rsidRPr="00E706BB">
              <w:rPr>
                <w:rFonts w:ascii="Arial" w:hAnsi="Arial" w:cs="Arial"/>
              </w:rPr>
              <w:t>ральный бюджет</w:t>
            </w:r>
          </w:p>
        </w:tc>
      </w:tr>
      <w:tr w:rsidR="00E706BB" w:rsidRPr="00E706BB" w:rsidTr="00E13C76">
        <w:trPr>
          <w:gridAfter w:val="1"/>
          <w:wAfter w:w="812" w:type="dxa"/>
          <w:trHeight w:val="495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краевой бю</w:t>
            </w:r>
            <w:r w:rsidRPr="00E706BB">
              <w:rPr>
                <w:rFonts w:ascii="Arial" w:hAnsi="Arial" w:cs="Arial"/>
              </w:rPr>
              <w:t>д</w:t>
            </w:r>
            <w:r w:rsidRPr="00E706BB">
              <w:rPr>
                <w:rFonts w:ascii="Arial" w:hAnsi="Arial" w:cs="Arial"/>
              </w:rPr>
              <w:t>жет</w:t>
            </w:r>
          </w:p>
        </w:tc>
      </w:tr>
      <w:tr w:rsidR="00E706BB" w:rsidRPr="00E706BB" w:rsidTr="00E13C76">
        <w:trPr>
          <w:gridAfter w:val="1"/>
          <w:wAfter w:w="812" w:type="dxa"/>
          <w:trHeight w:val="495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30,0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местный бюджет</w:t>
            </w:r>
          </w:p>
        </w:tc>
      </w:tr>
      <w:tr w:rsidR="00E706BB" w:rsidRPr="00E706BB" w:rsidTr="00E13C76">
        <w:trPr>
          <w:gridAfter w:val="1"/>
          <w:wAfter w:w="812" w:type="dxa"/>
          <w:trHeight w:val="1126"/>
        </w:trPr>
        <w:tc>
          <w:tcPr>
            <w:tcW w:w="5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внебюдже</w:t>
            </w:r>
            <w:r w:rsidRPr="00E706BB">
              <w:rPr>
                <w:rFonts w:ascii="Arial" w:hAnsi="Arial" w:cs="Arial"/>
              </w:rPr>
              <w:t>т</w:t>
            </w:r>
            <w:r w:rsidRPr="00E706BB">
              <w:rPr>
                <w:rFonts w:ascii="Arial" w:hAnsi="Arial" w:cs="Arial"/>
              </w:rPr>
              <w:t>ные источн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ки</w:t>
            </w:r>
          </w:p>
        </w:tc>
      </w:tr>
      <w:tr w:rsidR="00E13C76" w:rsidRPr="00E706BB" w:rsidTr="00E13C76">
        <w:trPr>
          <w:gridAfter w:val="1"/>
          <w:wAfter w:w="812" w:type="dxa"/>
          <w:trHeight w:val="566"/>
        </w:trPr>
        <w:tc>
          <w:tcPr>
            <w:tcW w:w="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Мероприятие 1.3. Заключение соглашений и выплата собственн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кам квартир аварийного дома в</w:t>
            </w:r>
            <w:r w:rsidRPr="00E706BB">
              <w:rPr>
                <w:rFonts w:ascii="Arial" w:hAnsi="Arial" w:cs="Arial"/>
              </w:rPr>
              <w:t>ы</w:t>
            </w:r>
            <w:r w:rsidRPr="00E706BB">
              <w:rPr>
                <w:rFonts w:ascii="Arial" w:hAnsi="Arial" w:cs="Arial"/>
              </w:rPr>
              <w:t>купной стоимости квартир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2023 - 2027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Администрация Тальменского ра</w:t>
            </w:r>
            <w:r w:rsidRPr="00E706BB">
              <w:rPr>
                <w:rFonts w:ascii="Arial" w:hAnsi="Arial" w:cs="Arial"/>
              </w:rPr>
              <w:t>й</w:t>
            </w:r>
            <w:r w:rsidRPr="00E706BB">
              <w:rPr>
                <w:rFonts w:ascii="Arial" w:hAnsi="Arial" w:cs="Arial"/>
              </w:rPr>
              <w:t>она, Администрация Тальменского по</w:t>
            </w:r>
            <w:r w:rsidRPr="00E706BB">
              <w:rPr>
                <w:rFonts w:ascii="Arial" w:hAnsi="Arial" w:cs="Arial"/>
              </w:rPr>
              <w:t>с</w:t>
            </w:r>
            <w:r w:rsidRPr="00E706BB">
              <w:rPr>
                <w:rFonts w:ascii="Arial" w:hAnsi="Arial" w:cs="Arial"/>
              </w:rPr>
              <w:t>совета</w:t>
            </w:r>
          </w:p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59261,5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21369,3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80630,8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всего</w:t>
            </w:r>
          </w:p>
        </w:tc>
      </w:tr>
      <w:tr w:rsidR="00E13C76" w:rsidRPr="00E706BB" w:rsidTr="00E13C76">
        <w:trPr>
          <w:gridAfter w:val="1"/>
          <w:wAfter w:w="812" w:type="dxa"/>
          <w:trHeight w:val="688"/>
        </w:trPr>
        <w:tc>
          <w:tcPr>
            <w:tcW w:w="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  том числе</w:t>
            </w:r>
          </w:p>
        </w:tc>
      </w:tr>
      <w:tr w:rsidR="00E13C76" w:rsidRPr="00E706BB" w:rsidTr="00E13C76">
        <w:trPr>
          <w:gridAfter w:val="1"/>
          <w:wAfter w:w="812" w:type="dxa"/>
          <w:trHeight w:val="967"/>
        </w:trPr>
        <w:tc>
          <w:tcPr>
            <w:tcW w:w="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фед</w:t>
            </w:r>
            <w:r w:rsidRPr="00E706BB">
              <w:rPr>
                <w:rFonts w:ascii="Arial" w:hAnsi="Arial" w:cs="Arial"/>
              </w:rPr>
              <w:t>е</w:t>
            </w:r>
            <w:r w:rsidRPr="00E706BB">
              <w:rPr>
                <w:rFonts w:ascii="Arial" w:hAnsi="Arial" w:cs="Arial"/>
              </w:rPr>
              <w:t>ральный бюджет</w:t>
            </w:r>
          </w:p>
        </w:tc>
      </w:tr>
      <w:tr w:rsidR="00E13C76" w:rsidRPr="00E706BB" w:rsidTr="00E13C76">
        <w:trPr>
          <w:gridAfter w:val="1"/>
          <w:wAfter w:w="812" w:type="dxa"/>
          <w:trHeight w:val="698"/>
        </w:trPr>
        <w:tc>
          <w:tcPr>
            <w:tcW w:w="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59261,5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21369,3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80630,8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кр</w:t>
            </w:r>
            <w:r w:rsidRPr="00E706BB">
              <w:rPr>
                <w:rFonts w:ascii="Arial" w:hAnsi="Arial" w:cs="Arial"/>
              </w:rPr>
              <w:t>а</w:t>
            </w:r>
            <w:r w:rsidRPr="00E706BB">
              <w:rPr>
                <w:rFonts w:ascii="Arial" w:hAnsi="Arial" w:cs="Arial"/>
              </w:rPr>
              <w:t>ев.бюджет</w:t>
            </w:r>
          </w:p>
        </w:tc>
      </w:tr>
      <w:tr w:rsidR="00E13C76" w:rsidRPr="00E706BB" w:rsidTr="00E13C76">
        <w:trPr>
          <w:gridAfter w:val="1"/>
          <w:wAfter w:w="812" w:type="dxa"/>
          <w:trHeight w:val="694"/>
        </w:trPr>
        <w:tc>
          <w:tcPr>
            <w:tcW w:w="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Местный бюджет</w:t>
            </w:r>
          </w:p>
        </w:tc>
      </w:tr>
      <w:tr w:rsidR="00E13C76" w:rsidRPr="00E706BB" w:rsidTr="00E13C76">
        <w:trPr>
          <w:gridAfter w:val="1"/>
          <w:wAfter w:w="812" w:type="dxa"/>
          <w:trHeight w:val="1126"/>
        </w:trPr>
        <w:tc>
          <w:tcPr>
            <w:tcW w:w="5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C76" w:rsidRPr="00E706BB" w:rsidRDefault="00E13C76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внебюдже</w:t>
            </w:r>
            <w:r w:rsidRPr="00E706BB">
              <w:rPr>
                <w:rFonts w:ascii="Arial" w:hAnsi="Arial" w:cs="Arial"/>
              </w:rPr>
              <w:t>т</w:t>
            </w:r>
            <w:r w:rsidRPr="00E706BB">
              <w:rPr>
                <w:rFonts w:ascii="Arial" w:hAnsi="Arial" w:cs="Arial"/>
              </w:rPr>
              <w:t>ные источн</w:t>
            </w:r>
            <w:r w:rsidRPr="00E706BB">
              <w:rPr>
                <w:rFonts w:ascii="Arial" w:hAnsi="Arial" w:cs="Arial"/>
              </w:rPr>
              <w:t>и</w:t>
            </w:r>
            <w:r w:rsidRPr="00E706BB">
              <w:rPr>
                <w:rFonts w:ascii="Arial" w:hAnsi="Arial" w:cs="Arial"/>
              </w:rPr>
              <w:t>ки</w:t>
            </w:r>
          </w:p>
        </w:tc>
      </w:tr>
    </w:tbl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rPr>
          <w:rFonts w:ascii="Arial" w:hAnsi="Arial" w:cs="Arial"/>
        </w:rPr>
      </w:pPr>
      <w:r w:rsidRPr="00E706BB">
        <w:rPr>
          <w:rFonts w:ascii="Arial" w:hAnsi="Arial" w:cs="Arial"/>
        </w:rPr>
        <w:t xml:space="preserve"> Таблица 3 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706BB" w:rsidRDefault="00E706BB" w:rsidP="00E706BB">
      <w:pPr>
        <w:pStyle w:val="aff"/>
        <w:rPr>
          <w:rFonts w:ascii="Arial" w:hAnsi="Arial" w:cs="Arial"/>
        </w:rPr>
      </w:pP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13C76">
        <w:rPr>
          <w:rFonts w:ascii="Arial" w:hAnsi="Arial" w:cs="Arial"/>
          <w:b/>
        </w:rPr>
        <w:t>Объем финансовых ресурсов,</w:t>
      </w:r>
    </w:p>
    <w:p w:rsidR="00E706BB" w:rsidRPr="00E13C76" w:rsidRDefault="00E706BB" w:rsidP="00E13C76">
      <w:pPr>
        <w:pStyle w:val="aff"/>
        <w:jc w:val="center"/>
        <w:rPr>
          <w:rFonts w:ascii="Arial" w:hAnsi="Arial" w:cs="Arial"/>
          <w:b/>
        </w:rPr>
      </w:pPr>
      <w:r w:rsidRPr="00E13C76">
        <w:rPr>
          <w:rFonts w:ascii="Arial" w:hAnsi="Arial" w:cs="Arial"/>
          <w:b/>
        </w:rPr>
        <w:t>необходимых для реализации муниципальной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134"/>
        <w:gridCol w:w="1134"/>
        <w:gridCol w:w="1134"/>
        <w:gridCol w:w="1134"/>
      </w:tblGrid>
      <w:tr w:rsidR="00E706BB" w:rsidRPr="00E706BB" w:rsidTr="00E13C76">
        <w:tc>
          <w:tcPr>
            <w:tcW w:w="5778" w:type="dxa"/>
            <w:vMerge w:val="restart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Источники и направления расходов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Сумма расходов, тыс. рублей</w:t>
            </w:r>
          </w:p>
        </w:tc>
      </w:tr>
      <w:tr w:rsidR="00E706BB" w:rsidRPr="00E706BB" w:rsidTr="00E13C76">
        <w:tc>
          <w:tcPr>
            <w:tcW w:w="5778" w:type="dxa"/>
            <w:vMerge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2023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2024</w:t>
            </w:r>
          </w:p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2025</w:t>
            </w:r>
          </w:p>
          <w:p w:rsidR="00E706BB" w:rsidRPr="00E706BB" w:rsidRDefault="00E706BB" w:rsidP="00E706BB">
            <w:pPr>
              <w:pStyle w:val="aff"/>
              <w:rPr>
                <w:rFonts w:ascii="Arial" w:eastAsia="Sylfaen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всего</w:t>
            </w:r>
          </w:p>
        </w:tc>
      </w:tr>
      <w:tr w:rsidR="00E706BB" w:rsidRPr="00E706BB" w:rsidTr="00E13C76">
        <w:tc>
          <w:tcPr>
            <w:tcW w:w="5778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Всего финансовых затрат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59301,5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21369,3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80670,8</w:t>
            </w:r>
          </w:p>
        </w:tc>
      </w:tr>
      <w:tr w:rsidR="00E706BB" w:rsidRPr="00E706BB" w:rsidTr="00E13C76">
        <w:tc>
          <w:tcPr>
            <w:tcW w:w="5778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</w:p>
        </w:tc>
      </w:tr>
      <w:tr w:rsidR="00E706BB" w:rsidRPr="00E706BB" w:rsidTr="00E13C76">
        <w:tc>
          <w:tcPr>
            <w:tcW w:w="5778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из бюджета муниципального образования Тальменский район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40,0</w:t>
            </w:r>
          </w:p>
        </w:tc>
      </w:tr>
      <w:tr w:rsidR="00E706BB" w:rsidRPr="00E706BB" w:rsidTr="00E13C76">
        <w:tc>
          <w:tcPr>
            <w:tcW w:w="5778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из краевого бюджета (на условиях софина</w:t>
            </w:r>
            <w:r w:rsidRPr="00E706BB">
              <w:rPr>
                <w:rFonts w:ascii="Arial" w:hAnsi="Arial" w:cs="Arial"/>
              </w:rPr>
              <w:t>н</w:t>
            </w:r>
            <w:r w:rsidRPr="00E706BB">
              <w:rPr>
                <w:rFonts w:ascii="Arial" w:hAnsi="Arial" w:cs="Arial"/>
              </w:rPr>
              <w:t>сирования)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59261,5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21369,3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  <w:strike/>
              </w:rPr>
            </w:pPr>
            <w:r w:rsidRPr="00E706BB">
              <w:rPr>
                <w:rFonts w:ascii="Arial" w:hAnsi="Arial" w:cs="Arial"/>
              </w:rPr>
              <w:t>80630,8</w:t>
            </w:r>
          </w:p>
        </w:tc>
      </w:tr>
      <w:tr w:rsidR="00E706BB" w:rsidRPr="00E706BB" w:rsidTr="00E13C76">
        <w:tc>
          <w:tcPr>
            <w:tcW w:w="5778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из федерального бюджета (на условиях с</w:t>
            </w:r>
            <w:r w:rsidRPr="00E706BB">
              <w:rPr>
                <w:rFonts w:ascii="Arial" w:hAnsi="Arial" w:cs="Arial"/>
              </w:rPr>
              <w:t>о</w:t>
            </w:r>
            <w:r w:rsidRPr="00E706BB">
              <w:rPr>
                <w:rFonts w:ascii="Arial" w:hAnsi="Arial" w:cs="Arial"/>
              </w:rPr>
              <w:t>финансирования)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</w:tr>
      <w:tr w:rsidR="00E706BB" w:rsidRPr="00E706BB" w:rsidTr="00E13C76">
        <w:tc>
          <w:tcPr>
            <w:tcW w:w="5778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из внебюджетных источников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</w:tr>
      <w:tr w:rsidR="00E706BB" w:rsidRPr="00E706BB" w:rsidTr="00E13C76">
        <w:tc>
          <w:tcPr>
            <w:tcW w:w="5778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6BB" w:rsidRPr="00E706BB" w:rsidRDefault="00E706BB" w:rsidP="00E706BB">
            <w:pPr>
              <w:pStyle w:val="aff"/>
              <w:rPr>
                <w:rFonts w:ascii="Arial" w:hAnsi="Arial" w:cs="Arial"/>
              </w:rPr>
            </w:pPr>
            <w:r w:rsidRPr="00E706BB">
              <w:rPr>
                <w:rFonts w:ascii="Arial" w:hAnsi="Arial" w:cs="Arial"/>
              </w:rPr>
              <w:t>0</w:t>
            </w:r>
          </w:p>
        </w:tc>
      </w:tr>
    </w:tbl>
    <w:p w:rsidR="00E706BB" w:rsidRPr="00E706BB" w:rsidRDefault="00E706BB" w:rsidP="00E706BB">
      <w:pPr>
        <w:pStyle w:val="aff"/>
        <w:rPr>
          <w:rFonts w:ascii="Arial" w:hAnsi="Arial" w:cs="Arial"/>
        </w:rPr>
      </w:pPr>
      <w:r w:rsidRPr="00E706BB">
        <w:rPr>
          <w:rFonts w:ascii="Arial" w:hAnsi="Arial" w:cs="Arial"/>
        </w:rPr>
        <w:t>Начало формы</w:t>
      </w:r>
    </w:p>
    <w:p w:rsidR="00E706BB" w:rsidRPr="00E706BB" w:rsidRDefault="00E706BB" w:rsidP="00E706BB">
      <w:pPr>
        <w:pStyle w:val="aff"/>
        <w:rPr>
          <w:rFonts w:ascii="Arial" w:hAnsi="Arial" w:cs="Arial"/>
        </w:rPr>
      </w:pPr>
      <w:r w:rsidRPr="00E706BB">
        <w:rPr>
          <w:rFonts w:ascii="Arial" w:hAnsi="Arial" w:cs="Arial"/>
        </w:rPr>
        <w:t>Конец формы</w:t>
      </w:r>
    </w:p>
    <w:sectPr w:rsidR="00E706BB" w:rsidRPr="00E706BB" w:rsidSect="00E706BB">
      <w:pgSz w:w="11906" w:h="16838"/>
      <w:pgMar w:top="1134" w:right="567" w:bottom="1134" w:left="1247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3D" w:rsidRDefault="00A12D3D" w:rsidP="00436857">
      <w:r>
        <w:separator/>
      </w:r>
    </w:p>
  </w:endnote>
  <w:endnote w:type="continuationSeparator" w:id="1">
    <w:p w:rsidR="00A12D3D" w:rsidRDefault="00A12D3D" w:rsidP="0043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3D" w:rsidRDefault="00A12D3D" w:rsidP="00436857">
      <w:r>
        <w:separator/>
      </w:r>
    </w:p>
  </w:footnote>
  <w:footnote w:type="continuationSeparator" w:id="1">
    <w:p w:rsidR="00A12D3D" w:rsidRDefault="00A12D3D" w:rsidP="0043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174F8"/>
    <w:multiLevelType w:val="multilevel"/>
    <w:tmpl w:val="184EC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1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4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2A5F3269"/>
    <w:multiLevelType w:val="hybridMultilevel"/>
    <w:tmpl w:val="DB9ED8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8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4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5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7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0">
    <w:nsid w:val="649C75D3"/>
    <w:multiLevelType w:val="hybridMultilevel"/>
    <w:tmpl w:val="BE8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42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3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4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5"/>
  </w:num>
  <w:num w:numId="2">
    <w:abstractNumId w:val="5"/>
  </w:num>
  <w:num w:numId="3">
    <w:abstractNumId w:val="39"/>
  </w:num>
  <w:num w:numId="4">
    <w:abstractNumId w:val="32"/>
  </w:num>
  <w:num w:numId="5">
    <w:abstractNumId w:val="31"/>
  </w:num>
  <w:num w:numId="6">
    <w:abstractNumId w:val="34"/>
  </w:num>
  <w:num w:numId="7">
    <w:abstractNumId w:val="23"/>
  </w:num>
  <w:num w:numId="8">
    <w:abstractNumId w:val="7"/>
  </w:num>
  <w:num w:numId="9">
    <w:abstractNumId w:val="43"/>
  </w:num>
  <w:num w:numId="10">
    <w:abstractNumId w:val="13"/>
  </w:num>
  <w:num w:numId="11">
    <w:abstractNumId w:val="42"/>
  </w:num>
  <w:num w:numId="12">
    <w:abstractNumId w:val="1"/>
  </w:num>
  <w:num w:numId="13">
    <w:abstractNumId w:val="26"/>
  </w:num>
  <w:num w:numId="14">
    <w:abstractNumId w:val="24"/>
  </w:num>
  <w:num w:numId="15">
    <w:abstractNumId w:val="44"/>
  </w:num>
  <w:num w:numId="16">
    <w:abstractNumId w:val="4"/>
  </w:num>
  <w:num w:numId="17">
    <w:abstractNumId w:val="30"/>
  </w:num>
  <w:num w:numId="18">
    <w:abstractNumId w:val="41"/>
  </w:num>
  <w:num w:numId="19">
    <w:abstractNumId w:val="28"/>
  </w:num>
  <w:num w:numId="20">
    <w:abstractNumId w:val="27"/>
  </w:num>
  <w:num w:numId="21">
    <w:abstractNumId w:val="35"/>
  </w:num>
  <w:num w:numId="22">
    <w:abstractNumId w:val="6"/>
  </w:num>
  <w:num w:numId="23">
    <w:abstractNumId w:val="11"/>
  </w:num>
  <w:num w:numId="24">
    <w:abstractNumId w:val="19"/>
  </w:num>
  <w:num w:numId="25">
    <w:abstractNumId w:val="10"/>
  </w:num>
  <w:num w:numId="26">
    <w:abstractNumId w:val="9"/>
  </w:num>
  <w:num w:numId="27">
    <w:abstractNumId w:val="29"/>
  </w:num>
  <w:num w:numId="28">
    <w:abstractNumId w:val="48"/>
  </w:num>
  <w:num w:numId="29">
    <w:abstractNumId w:val="22"/>
  </w:num>
  <w:num w:numId="30">
    <w:abstractNumId w:val="33"/>
  </w:num>
  <w:num w:numId="31">
    <w:abstractNumId w:val="46"/>
  </w:num>
  <w:num w:numId="32">
    <w:abstractNumId w:val="18"/>
  </w:num>
  <w:num w:numId="33">
    <w:abstractNumId w:val="38"/>
  </w:num>
  <w:num w:numId="34">
    <w:abstractNumId w:val="3"/>
  </w:num>
  <w:num w:numId="35">
    <w:abstractNumId w:val="17"/>
  </w:num>
  <w:num w:numId="36">
    <w:abstractNumId w:val="25"/>
  </w:num>
  <w:num w:numId="37">
    <w:abstractNumId w:val="12"/>
  </w:num>
  <w:num w:numId="38">
    <w:abstractNumId w:val="49"/>
  </w:num>
  <w:num w:numId="39">
    <w:abstractNumId w:val="37"/>
  </w:num>
  <w:num w:numId="40">
    <w:abstractNumId w:val="0"/>
  </w:num>
  <w:num w:numId="41">
    <w:abstractNumId w:val="21"/>
  </w:num>
  <w:num w:numId="42">
    <w:abstractNumId w:val="47"/>
  </w:num>
  <w:num w:numId="43">
    <w:abstractNumId w:val="2"/>
  </w:num>
  <w:num w:numId="44">
    <w:abstractNumId w:val="20"/>
  </w:num>
  <w:num w:numId="45">
    <w:abstractNumId w:val="36"/>
  </w:num>
  <w:num w:numId="46">
    <w:abstractNumId w:val="14"/>
  </w:num>
  <w:num w:numId="47">
    <w:abstractNumId w:val="16"/>
  </w:num>
  <w:num w:numId="48">
    <w:abstractNumId w:val="40"/>
  </w:num>
  <w:num w:numId="49">
    <w:abstractNumId w:val="8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25A0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15C5"/>
    <w:rsid w:val="002C169D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753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B5362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B82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2CF2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4E14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16E1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06EE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86F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0BB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13B6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4594"/>
    <w:rsid w:val="00904B64"/>
    <w:rsid w:val="00904F28"/>
    <w:rsid w:val="0090528E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31D9"/>
    <w:rsid w:val="0097460F"/>
    <w:rsid w:val="00975089"/>
    <w:rsid w:val="0097511A"/>
    <w:rsid w:val="00975AD4"/>
    <w:rsid w:val="00975C31"/>
    <w:rsid w:val="00976D27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2D3D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415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0416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1C5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E754A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396C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92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C76"/>
    <w:rsid w:val="00E13E6B"/>
    <w:rsid w:val="00E149C9"/>
    <w:rsid w:val="00E14AE0"/>
    <w:rsid w:val="00E14CAC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441A2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6BB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B11"/>
    <w:rsid w:val="00ED4AB1"/>
    <w:rsid w:val="00ED5FF2"/>
    <w:rsid w:val="00ED77A2"/>
    <w:rsid w:val="00ED7EF2"/>
    <w:rsid w:val="00EE0AAE"/>
    <w:rsid w:val="00EE0E71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DCC"/>
    <w:rsid w:val="00FE5A14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  <w:lang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  <w:lang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lang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  <w:lang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Title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  <w:lang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link w:val="aff0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heading1">
    <w:name w:val="heading 1"/>
    <w:basedOn w:val="Normal"/>
    <w:next w:val="Normal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Normal"/>
    <w:next w:val="Normal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character" w:customStyle="1" w:styleId="aff0">
    <w:name w:val="Без интервала Знак"/>
    <w:link w:val="aff"/>
    <w:uiPriority w:val="1"/>
    <w:locked/>
    <w:rsid w:val="009731D9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Strong"/>
    <w:qFormat/>
    <w:rsid w:val="009731D9"/>
    <w:rPr>
      <w:b/>
      <w:bCs/>
    </w:rPr>
  </w:style>
  <w:style w:type="paragraph" w:customStyle="1" w:styleId="110">
    <w:name w:val="Заголовок 11"/>
    <w:basedOn w:val="a"/>
    <w:next w:val="a"/>
    <w:rsid w:val="009731D9"/>
    <w:pPr>
      <w:keepNext/>
      <w:widowControl/>
      <w:tabs>
        <w:tab w:val="num" w:pos="360"/>
      </w:tabs>
      <w:suppressAutoHyphens/>
      <w:autoSpaceDE/>
      <w:autoSpaceDN/>
      <w:adjustRightInd/>
    </w:pPr>
    <w:rPr>
      <w:rFonts w:ascii="Times New Roman" w:hAnsi="Times New Roman" w:cs="Times New Roman"/>
      <w:sz w:val="28"/>
      <w:lang w:eastAsia="ar-SA"/>
    </w:rPr>
  </w:style>
  <w:style w:type="paragraph" w:customStyle="1" w:styleId="12">
    <w:name w:val="Обычный1"/>
    <w:rsid w:val="009731D9"/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E706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ertext">
    <w:name w:val="headertext"/>
    <w:basedOn w:val="a"/>
    <w:rsid w:val="00E706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6B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cs="Times New Roman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uiPriority w:val="99"/>
    <w:semiHidden/>
    <w:rsid w:val="00E706BB"/>
    <w:rPr>
      <w:rFonts w:ascii="Arial" w:eastAsia="Times New Roman" w:hAnsi="Arial"/>
      <w:vanish/>
      <w:sz w:val="16"/>
      <w:szCs w:val="16"/>
      <w:lang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6BB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cs="Times New Roman"/>
      <w:vanish/>
      <w:sz w:val="16"/>
      <w:szCs w:val="16"/>
      <w:lang/>
    </w:rPr>
  </w:style>
  <w:style w:type="character" w:customStyle="1" w:styleId="z-2">
    <w:name w:val="z-Конец формы Знак"/>
    <w:basedOn w:val="a0"/>
    <w:link w:val="z-1"/>
    <w:uiPriority w:val="99"/>
    <w:semiHidden/>
    <w:rsid w:val="00E706BB"/>
    <w:rPr>
      <w:rFonts w:ascii="Arial" w:eastAsia="Times New Roman" w:hAnsi="Arial"/>
      <w:vanish/>
      <w:sz w:val="16"/>
      <w:szCs w:val="16"/>
      <w:lang/>
    </w:rPr>
  </w:style>
  <w:style w:type="character" w:customStyle="1" w:styleId="Bodytext">
    <w:name w:val="Body text_"/>
    <w:link w:val="60"/>
    <w:rsid w:val="00E706BB"/>
    <w:rPr>
      <w:sz w:val="27"/>
      <w:szCs w:val="27"/>
      <w:shd w:val="clear" w:color="auto" w:fill="FFFFFF"/>
    </w:rPr>
  </w:style>
  <w:style w:type="paragraph" w:customStyle="1" w:styleId="60">
    <w:name w:val="Основной текст6"/>
    <w:basedOn w:val="a"/>
    <w:link w:val="Bodytext"/>
    <w:rsid w:val="00E706BB"/>
    <w:pPr>
      <w:shd w:val="clear" w:color="auto" w:fill="FFFFFF"/>
      <w:autoSpaceDE/>
      <w:autoSpaceDN/>
      <w:adjustRightInd/>
      <w:spacing w:before="300" w:after="60" w:line="0" w:lineRule="atLeast"/>
      <w:ind w:hanging="2360"/>
      <w:jc w:val="both"/>
    </w:pPr>
    <w:rPr>
      <w:rFonts w:ascii="Calibri" w:eastAsia="Calibri" w:hAnsi="Calibri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585A-39F1-4623-9E5E-0FB138C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creator>string_value</dc:creator>
  <cp:lastModifiedBy>Наташа</cp:lastModifiedBy>
  <cp:revision>3</cp:revision>
  <cp:lastPrinted>2023-03-02T07:41:00Z</cp:lastPrinted>
  <dcterms:created xsi:type="dcterms:W3CDTF">2023-04-04T09:04:00Z</dcterms:created>
  <dcterms:modified xsi:type="dcterms:W3CDTF">2023-04-04T09:20:00Z</dcterms:modified>
</cp:coreProperties>
</file>